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A6C1D" w14:textId="77777777" w:rsidR="00BE2DA5" w:rsidRPr="00175C69" w:rsidRDefault="00230EE1">
      <w:pPr>
        <w:jc w:val="center"/>
      </w:pPr>
      <w:r w:rsidRPr="00175C69">
        <w:t>162 FERC ¶ 61,227</w:t>
      </w:r>
    </w:p>
    <w:p w14:paraId="138C133D" w14:textId="77777777" w:rsidR="00D1724D" w:rsidRPr="00D1724D" w:rsidRDefault="00D1724D" w:rsidP="00D1724D">
      <w:pPr>
        <w:jc w:val="center"/>
        <w:rPr>
          <w:szCs w:val="26"/>
        </w:rPr>
      </w:pPr>
      <w:r w:rsidRPr="00D1724D">
        <w:rPr>
          <w:szCs w:val="26"/>
        </w:rPr>
        <w:t>UNITED STATES OF AMERICA</w:t>
      </w:r>
    </w:p>
    <w:p w14:paraId="7FCAD99B" w14:textId="77777777" w:rsidR="00D1724D" w:rsidRPr="00D1724D" w:rsidRDefault="00D1724D" w:rsidP="00D1724D">
      <w:pPr>
        <w:jc w:val="center"/>
        <w:rPr>
          <w:szCs w:val="26"/>
        </w:rPr>
      </w:pPr>
      <w:r w:rsidRPr="00D1724D">
        <w:rPr>
          <w:szCs w:val="26"/>
        </w:rPr>
        <w:t>FEDERAL ENERGY REGULATORY COMMISSION</w:t>
      </w:r>
    </w:p>
    <w:p w14:paraId="240B1655" w14:textId="77777777" w:rsidR="00D1724D" w:rsidRPr="00D1724D" w:rsidRDefault="00D1724D" w:rsidP="00D1724D">
      <w:pPr>
        <w:jc w:val="center"/>
        <w:rPr>
          <w:szCs w:val="26"/>
        </w:rPr>
      </w:pPr>
    </w:p>
    <w:p w14:paraId="58647AA4" w14:textId="77777777" w:rsidR="00D1724D" w:rsidRPr="00D1724D" w:rsidRDefault="00D1724D" w:rsidP="00D1724D">
      <w:pPr>
        <w:jc w:val="center"/>
        <w:rPr>
          <w:szCs w:val="26"/>
        </w:rPr>
      </w:pPr>
      <w:r w:rsidRPr="00002653">
        <w:rPr>
          <w:szCs w:val="26"/>
        </w:rPr>
        <w:t>Docket No.</w:t>
      </w:r>
      <w:r w:rsidR="009209FF" w:rsidRPr="00002653">
        <w:rPr>
          <w:szCs w:val="26"/>
        </w:rPr>
        <w:t xml:space="preserve"> </w:t>
      </w:r>
      <w:r w:rsidR="001F48AA" w:rsidRPr="00002653">
        <w:rPr>
          <w:szCs w:val="26"/>
        </w:rPr>
        <w:t>PL17-1-000</w:t>
      </w:r>
    </w:p>
    <w:p w14:paraId="21C1D586" w14:textId="77777777" w:rsidR="00D1724D" w:rsidRPr="00D1724D" w:rsidRDefault="00D1724D" w:rsidP="00D1724D">
      <w:pPr>
        <w:jc w:val="center"/>
        <w:rPr>
          <w:szCs w:val="26"/>
        </w:rPr>
      </w:pPr>
    </w:p>
    <w:p w14:paraId="24293765" w14:textId="77777777" w:rsidR="00D1724D" w:rsidRPr="00D1724D" w:rsidRDefault="009209FF" w:rsidP="00D1724D">
      <w:pPr>
        <w:jc w:val="center"/>
        <w:rPr>
          <w:szCs w:val="26"/>
        </w:rPr>
      </w:pPr>
      <w:r>
        <w:rPr>
          <w:szCs w:val="26"/>
        </w:rPr>
        <w:t>Inquiry Regarding</w:t>
      </w:r>
      <w:r w:rsidR="00767C73">
        <w:rPr>
          <w:szCs w:val="26"/>
        </w:rPr>
        <w:t xml:space="preserve"> the Commission’s Policy for Recovery of</w:t>
      </w:r>
      <w:r>
        <w:rPr>
          <w:szCs w:val="26"/>
        </w:rPr>
        <w:t xml:space="preserve"> Income Tax</w:t>
      </w:r>
      <w:r w:rsidR="00767C73">
        <w:rPr>
          <w:szCs w:val="26"/>
        </w:rPr>
        <w:t xml:space="preserve"> Costs</w:t>
      </w:r>
    </w:p>
    <w:p w14:paraId="5C3EDCA1" w14:textId="77777777" w:rsidR="00D1724D" w:rsidRPr="00D1724D" w:rsidRDefault="00D1724D" w:rsidP="00D1724D">
      <w:pPr>
        <w:jc w:val="center"/>
        <w:rPr>
          <w:szCs w:val="26"/>
        </w:rPr>
      </w:pPr>
    </w:p>
    <w:p w14:paraId="71BDCFE8" w14:textId="16981A6E" w:rsidR="000F474F" w:rsidRDefault="003B2D78" w:rsidP="003B2D78">
      <w:pPr>
        <w:widowControl/>
        <w:jc w:val="center"/>
        <w:rPr>
          <w:szCs w:val="26"/>
        </w:rPr>
      </w:pPr>
      <w:r>
        <w:rPr>
          <w:szCs w:val="26"/>
        </w:rPr>
        <w:t>(Issued March 15</w:t>
      </w:r>
      <w:r w:rsidRPr="003B2D78">
        <w:rPr>
          <w:szCs w:val="26"/>
        </w:rPr>
        <w:t>, 2018)</w:t>
      </w:r>
    </w:p>
    <w:p w14:paraId="066735DF" w14:textId="77777777" w:rsidR="003B2D78" w:rsidRPr="003B2D78" w:rsidRDefault="003B2D78" w:rsidP="003B2D78">
      <w:pPr>
        <w:widowControl/>
        <w:rPr>
          <w:szCs w:val="26"/>
        </w:rPr>
      </w:pPr>
    </w:p>
    <w:p w14:paraId="19DDD89E" w14:textId="77777777" w:rsidR="00D1724D" w:rsidRPr="00D1724D" w:rsidRDefault="00D1724D" w:rsidP="00D1724D">
      <w:pPr>
        <w:spacing w:line="480" w:lineRule="auto"/>
        <w:rPr>
          <w:szCs w:val="26"/>
        </w:rPr>
      </w:pPr>
      <w:r w:rsidRPr="00D1724D">
        <w:rPr>
          <w:szCs w:val="26"/>
          <w:u w:val="single"/>
        </w:rPr>
        <w:t>AGENCY</w:t>
      </w:r>
      <w:r w:rsidRPr="00D1724D">
        <w:rPr>
          <w:szCs w:val="26"/>
        </w:rPr>
        <w:t>:  Federal Energy Regulatory Commission.</w:t>
      </w:r>
    </w:p>
    <w:p w14:paraId="6ECBD713" w14:textId="0BF1200B" w:rsidR="00D1724D" w:rsidRPr="00D1724D" w:rsidRDefault="00D1724D" w:rsidP="00D1724D">
      <w:pPr>
        <w:spacing w:line="480" w:lineRule="auto"/>
        <w:rPr>
          <w:szCs w:val="26"/>
        </w:rPr>
      </w:pPr>
      <w:r w:rsidRPr="00D1724D">
        <w:rPr>
          <w:szCs w:val="26"/>
          <w:u w:val="single"/>
        </w:rPr>
        <w:t>ACTION</w:t>
      </w:r>
      <w:r w:rsidRPr="00D1724D">
        <w:rPr>
          <w:szCs w:val="26"/>
        </w:rPr>
        <w:t xml:space="preserve">:  </w:t>
      </w:r>
      <w:r w:rsidR="006C2516">
        <w:rPr>
          <w:szCs w:val="26"/>
        </w:rPr>
        <w:t xml:space="preserve">Revised </w:t>
      </w:r>
      <w:r w:rsidR="00223BFE">
        <w:rPr>
          <w:szCs w:val="26"/>
        </w:rPr>
        <w:t>Policy Statement on Treatment of Income Taxes</w:t>
      </w:r>
    </w:p>
    <w:p w14:paraId="1D06DE27" w14:textId="6128A02C" w:rsidR="00035DE1" w:rsidRPr="00035DE1" w:rsidRDefault="00D1724D" w:rsidP="00335223">
      <w:pPr>
        <w:widowControl/>
        <w:spacing w:line="480" w:lineRule="auto"/>
      </w:pPr>
      <w:r w:rsidRPr="00D1724D">
        <w:rPr>
          <w:szCs w:val="26"/>
          <w:u w:val="single"/>
        </w:rPr>
        <w:t>SUMMARY</w:t>
      </w:r>
      <w:r w:rsidR="00183B53">
        <w:rPr>
          <w:szCs w:val="26"/>
        </w:rPr>
        <w:t xml:space="preserve">:  </w:t>
      </w:r>
      <w:r w:rsidR="00C75DA9">
        <w:t>Following</w:t>
      </w:r>
      <w:r w:rsidR="000E41E9">
        <w:t xml:space="preserve"> the decision of the U.S. Court of Appeals for the District of Columbia Circuit in </w:t>
      </w:r>
      <w:r w:rsidR="000E41E9" w:rsidRPr="003B3D69">
        <w:rPr>
          <w:i/>
        </w:rPr>
        <w:t>United Airlines, Inc., et al. v. Federal Energy Regulatory Commission</w:t>
      </w:r>
      <w:r w:rsidR="000E41E9">
        <w:t xml:space="preserve">, </w:t>
      </w:r>
      <w:r w:rsidR="000E41E9">
        <w:rPr>
          <w:szCs w:val="26"/>
        </w:rPr>
        <w:t xml:space="preserve">827 F.3d 122 (D.C. Cir. </w:t>
      </w:r>
      <w:r w:rsidR="000E41E9" w:rsidRPr="00481DD8">
        <w:rPr>
          <w:szCs w:val="26"/>
        </w:rPr>
        <w:t>2016)</w:t>
      </w:r>
      <w:r w:rsidR="000E41E9">
        <w:rPr>
          <w:szCs w:val="26"/>
        </w:rPr>
        <w:t>,</w:t>
      </w:r>
      <w:r w:rsidR="000E41E9">
        <w:t xml:space="preserve"> t</w:t>
      </w:r>
      <w:r w:rsidR="000E41E9" w:rsidRPr="00E47928">
        <w:t xml:space="preserve">he Commission </w:t>
      </w:r>
      <w:r w:rsidR="00C967F8">
        <w:t>issued a notice of inquiry</w:t>
      </w:r>
      <w:r w:rsidR="00035DE1">
        <w:t xml:space="preserve"> (NOI)</w:t>
      </w:r>
      <w:r w:rsidR="00C967F8">
        <w:t xml:space="preserve"> seeking</w:t>
      </w:r>
      <w:r w:rsidR="000E41E9" w:rsidRPr="00E47928">
        <w:t xml:space="preserve"> comment</w:t>
      </w:r>
      <w:r w:rsidR="00391357">
        <w:t xml:space="preserve"> regarding </w:t>
      </w:r>
      <w:r w:rsidR="00AE60A4">
        <w:t xml:space="preserve">how to </w:t>
      </w:r>
      <w:r w:rsidR="00B34ABA">
        <w:t>address</w:t>
      </w:r>
      <w:r w:rsidR="00AE60A4">
        <w:t xml:space="preserve"> any double recovery resulting from the Commission’s current income tax allowance and rate of return policies</w:t>
      </w:r>
      <w:r w:rsidR="00AE60A4" w:rsidRPr="000E576A">
        <w:t>.</w:t>
      </w:r>
      <w:r w:rsidR="00595495">
        <w:t xml:space="preserve">  </w:t>
      </w:r>
      <w:r w:rsidR="00037BB9">
        <w:t xml:space="preserve">The Commission finds that an impermissible double recovery results from granting a Master Limited Partnership (MLP) pipeline both an income tax allowance and a return on equity pursuant to the discounted cash flow methodology.  </w:t>
      </w:r>
      <w:r w:rsidR="00E103DC">
        <w:t xml:space="preserve">Accordingly, </w:t>
      </w:r>
      <w:r w:rsidR="00271ED9">
        <w:t xml:space="preserve">the Commission </w:t>
      </w:r>
      <w:r w:rsidR="006C2516">
        <w:t xml:space="preserve">revises its policy and </w:t>
      </w:r>
      <w:r w:rsidR="00271ED9">
        <w:t>will no longer permit a</w:t>
      </w:r>
      <w:r w:rsidR="00037BB9">
        <w:t>n</w:t>
      </w:r>
      <w:r w:rsidR="00271ED9">
        <w:t xml:space="preserve"> MLP to recover an income tax allowance in </w:t>
      </w:r>
      <w:r w:rsidR="00B12713">
        <w:t>its</w:t>
      </w:r>
      <w:r w:rsidR="00271ED9">
        <w:t xml:space="preserve"> cost of service.  While all partnerships seeking to recover an income tax allowance will need to address the </w:t>
      </w:r>
      <w:r w:rsidR="00271ED9" w:rsidRPr="008D6930">
        <w:t xml:space="preserve">double-recovery concern, the Commission will address the application of </w:t>
      </w:r>
      <w:r w:rsidR="00271ED9" w:rsidRPr="008D6930">
        <w:rPr>
          <w:i/>
        </w:rPr>
        <w:t>United Airlines</w:t>
      </w:r>
      <w:r w:rsidR="00271ED9" w:rsidRPr="008D6930">
        <w:t xml:space="preserve"> to non-MLP partnership forms </w:t>
      </w:r>
      <w:r w:rsidR="00271ED9">
        <w:t xml:space="preserve">as those issues arise in subsequent proceedings. </w:t>
      </w:r>
    </w:p>
    <w:p w14:paraId="2B854786" w14:textId="26A637E5" w:rsidR="00037BB9" w:rsidRPr="006907EE" w:rsidRDefault="00037BB9" w:rsidP="006907EE">
      <w:pPr>
        <w:spacing w:line="480" w:lineRule="auto"/>
        <w:rPr>
          <w:szCs w:val="26"/>
        </w:rPr>
      </w:pPr>
      <w:r>
        <w:rPr>
          <w:szCs w:val="26"/>
          <w:u w:val="single"/>
        </w:rPr>
        <w:t>EFFECTIVE DATE:</w:t>
      </w:r>
      <w:r w:rsidR="00D6031A">
        <w:rPr>
          <w:szCs w:val="26"/>
        </w:rPr>
        <w:t xml:space="preserve">  This</w:t>
      </w:r>
      <w:r w:rsidR="006C2516">
        <w:rPr>
          <w:szCs w:val="26"/>
        </w:rPr>
        <w:t xml:space="preserve"> Revised</w:t>
      </w:r>
      <w:r w:rsidR="00D6031A">
        <w:rPr>
          <w:szCs w:val="26"/>
        </w:rPr>
        <w:t xml:space="preserve"> P</w:t>
      </w:r>
      <w:r>
        <w:rPr>
          <w:szCs w:val="26"/>
        </w:rPr>
        <w:t xml:space="preserve">olicy </w:t>
      </w:r>
      <w:r w:rsidR="00D6031A">
        <w:rPr>
          <w:szCs w:val="26"/>
        </w:rPr>
        <w:t>S</w:t>
      </w:r>
      <w:r>
        <w:rPr>
          <w:szCs w:val="26"/>
        </w:rPr>
        <w:t xml:space="preserve">tatement will become effective [date of publication in the </w:t>
      </w:r>
      <w:r>
        <w:rPr>
          <w:i/>
          <w:szCs w:val="26"/>
        </w:rPr>
        <w:t>Federal Register</w:t>
      </w:r>
      <w:r>
        <w:rPr>
          <w:szCs w:val="26"/>
        </w:rPr>
        <w:t>].</w:t>
      </w:r>
    </w:p>
    <w:p w14:paraId="3315B2DA" w14:textId="77777777" w:rsidR="00D1724D" w:rsidRPr="00D1724D" w:rsidRDefault="00D1724D" w:rsidP="00D1724D">
      <w:pPr>
        <w:rPr>
          <w:szCs w:val="26"/>
        </w:rPr>
      </w:pPr>
      <w:r w:rsidRPr="00D1724D">
        <w:rPr>
          <w:szCs w:val="26"/>
          <w:u w:val="single"/>
        </w:rPr>
        <w:t>FOR FURTHER INFORMATION CONTACT</w:t>
      </w:r>
      <w:r w:rsidRPr="00D1724D">
        <w:rPr>
          <w:szCs w:val="26"/>
        </w:rPr>
        <w:t>:</w:t>
      </w:r>
    </w:p>
    <w:p w14:paraId="627B207F" w14:textId="77777777" w:rsidR="00143FAC" w:rsidRPr="00D1724D" w:rsidRDefault="00143FAC" w:rsidP="00143FAC">
      <w:pPr>
        <w:rPr>
          <w:szCs w:val="26"/>
        </w:rPr>
      </w:pPr>
    </w:p>
    <w:p w14:paraId="289A9708" w14:textId="77777777" w:rsidR="00143FAC" w:rsidRPr="005A17E9" w:rsidRDefault="00143FAC" w:rsidP="00143FAC">
      <w:pPr>
        <w:widowControl/>
        <w:rPr>
          <w:szCs w:val="26"/>
        </w:rPr>
      </w:pPr>
      <w:r>
        <w:rPr>
          <w:szCs w:val="26"/>
        </w:rPr>
        <w:t>Glenna Riley</w:t>
      </w:r>
      <w:r w:rsidRPr="005A17E9">
        <w:rPr>
          <w:szCs w:val="26"/>
        </w:rPr>
        <w:t xml:space="preserve"> (Legal Information)</w:t>
      </w:r>
    </w:p>
    <w:p w14:paraId="4DA0E127" w14:textId="77777777" w:rsidR="00143FAC" w:rsidRPr="005A17E9" w:rsidRDefault="00143FAC" w:rsidP="00143FAC">
      <w:pPr>
        <w:widowControl/>
        <w:rPr>
          <w:szCs w:val="26"/>
        </w:rPr>
      </w:pPr>
      <w:r w:rsidRPr="005A17E9">
        <w:rPr>
          <w:szCs w:val="26"/>
        </w:rPr>
        <w:t>Office of the General Counsel</w:t>
      </w:r>
    </w:p>
    <w:p w14:paraId="2FEA6771" w14:textId="77777777" w:rsidR="00143FAC" w:rsidRPr="005A17E9" w:rsidRDefault="00143FAC" w:rsidP="00143FAC">
      <w:pPr>
        <w:widowControl/>
        <w:rPr>
          <w:szCs w:val="26"/>
        </w:rPr>
      </w:pPr>
      <w:r w:rsidRPr="005A17E9">
        <w:rPr>
          <w:szCs w:val="26"/>
        </w:rPr>
        <w:t>888 First Street, NE</w:t>
      </w:r>
    </w:p>
    <w:p w14:paraId="4E8F1E76" w14:textId="77777777" w:rsidR="00143FAC" w:rsidRPr="005A17E9" w:rsidRDefault="00143FAC" w:rsidP="00143FAC">
      <w:pPr>
        <w:widowControl/>
        <w:rPr>
          <w:szCs w:val="26"/>
        </w:rPr>
      </w:pPr>
      <w:r w:rsidRPr="005A17E9">
        <w:rPr>
          <w:szCs w:val="26"/>
        </w:rPr>
        <w:t>Washington, DC  20426</w:t>
      </w:r>
      <w:r w:rsidRPr="005A17E9">
        <w:rPr>
          <w:szCs w:val="26"/>
        </w:rPr>
        <w:tab/>
      </w:r>
      <w:r w:rsidRPr="005A17E9">
        <w:rPr>
          <w:szCs w:val="26"/>
        </w:rPr>
        <w:tab/>
      </w:r>
      <w:r w:rsidRPr="005A17E9">
        <w:rPr>
          <w:szCs w:val="26"/>
        </w:rPr>
        <w:tab/>
      </w:r>
      <w:r w:rsidRPr="005A17E9">
        <w:rPr>
          <w:szCs w:val="26"/>
        </w:rPr>
        <w:tab/>
      </w:r>
    </w:p>
    <w:p w14:paraId="6390687C" w14:textId="77777777" w:rsidR="00143FAC" w:rsidRDefault="00143FAC" w:rsidP="00143FAC">
      <w:pPr>
        <w:widowControl/>
        <w:rPr>
          <w:szCs w:val="26"/>
        </w:rPr>
      </w:pPr>
      <w:r>
        <w:rPr>
          <w:szCs w:val="26"/>
        </w:rPr>
        <w:t>(202) 502-8620</w:t>
      </w:r>
    </w:p>
    <w:p w14:paraId="36055229" w14:textId="77777777" w:rsidR="00143FAC" w:rsidRPr="005A17E9" w:rsidRDefault="00F7334F" w:rsidP="00143FAC">
      <w:pPr>
        <w:widowControl/>
        <w:rPr>
          <w:szCs w:val="26"/>
        </w:rPr>
      </w:pPr>
      <w:r>
        <w:rPr>
          <w:szCs w:val="26"/>
        </w:rPr>
        <w:t>Glenna.R</w:t>
      </w:r>
      <w:r w:rsidR="00143FAC">
        <w:rPr>
          <w:szCs w:val="26"/>
        </w:rPr>
        <w:t>iley@ferc.gov</w:t>
      </w:r>
    </w:p>
    <w:p w14:paraId="052DC511" w14:textId="77777777" w:rsidR="00143FAC" w:rsidRPr="00D1724D" w:rsidRDefault="00143FAC" w:rsidP="00D1724D">
      <w:pPr>
        <w:rPr>
          <w:szCs w:val="26"/>
        </w:rPr>
      </w:pPr>
    </w:p>
    <w:p w14:paraId="47EDCC4E" w14:textId="77777777" w:rsidR="00143FAC" w:rsidRPr="005A17E9" w:rsidRDefault="00143FAC" w:rsidP="00143FAC">
      <w:pPr>
        <w:widowControl/>
        <w:rPr>
          <w:szCs w:val="26"/>
        </w:rPr>
      </w:pPr>
      <w:r w:rsidRPr="005A17E9">
        <w:rPr>
          <w:szCs w:val="26"/>
        </w:rPr>
        <w:t>Andrew Knudsen (Legal Information)</w:t>
      </w:r>
    </w:p>
    <w:p w14:paraId="08C3AFD8" w14:textId="77777777" w:rsidR="00143FAC" w:rsidRPr="005A17E9" w:rsidRDefault="00143FAC" w:rsidP="00143FAC">
      <w:pPr>
        <w:widowControl/>
        <w:rPr>
          <w:szCs w:val="26"/>
        </w:rPr>
      </w:pPr>
      <w:r w:rsidRPr="005A17E9">
        <w:rPr>
          <w:szCs w:val="26"/>
        </w:rPr>
        <w:t>Office of the General Counsel</w:t>
      </w:r>
    </w:p>
    <w:p w14:paraId="563DAD56" w14:textId="77777777" w:rsidR="00143FAC" w:rsidRPr="005A17E9" w:rsidRDefault="00143FAC" w:rsidP="00143FAC">
      <w:pPr>
        <w:widowControl/>
        <w:rPr>
          <w:szCs w:val="26"/>
        </w:rPr>
      </w:pPr>
      <w:r w:rsidRPr="005A17E9">
        <w:rPr>
          <w:szCs w:val="26"/>
        </w:rPr>
        <w:t>888 First Street, NE</w:t>
      </w:r>
    </w:p>
    <w:p w14:paraId="172F9B1B" w14:textId="77777777" w:rsidR="00143FAC" w:rsidRPr="005A17E9" w:rsidRDefault="00143FAC" w:rsidP="00143FAC">
      <w:pPr>
        <w:widowControl/>
        <w:rPr>
          <w:szCs w:val="26"/>
        </w:rPr>
      </w:pPr>
      <w:r w:rsidRPr="005A17E9">
        <w:rPr>
          <w:szCs w:val="26"/>
        </w:rPr>
        <w:t>Washington, DC  20426</w:t>
      </w:r>
      <w:r w:rsidRPr="005A17E9">
        <w:rPr>
          <w:szCs w:val="26"/>
        </w:rPr>
        <w:tab/>
      </w:r>
      <w:r w:rsidRPr="005A17E9">
        <w:rPr>
          <w:szCs w:val="26"/>
        </w:rPr>
        <w:tab/>
      </w:r>
      <w:r w:rsidRPr="005A17E9">
        <w:rPr>
          <w:szCs w:val="26"/>
        </w:rPr>
        <w:tab/>
      </w:r>
      <w:r w:rsidRPr="005A17E9">
        <w:rPr>
          <w:szCs w:val="26"/>
        </w:rPr>
        <w:tab/>
      </w:r>
    </w:p>
    <w:p w14:paraId="185E0CA3" w14:textId="77777777" w:rsidR="00143FAC" w:rsidRPr="00887D07" w:rsidRDefault="00143FAC" w:rsidP="00143FAC">
      <w:pPr>
        <w:widowControl/>
        <w:rPr>
          <w:szCs w:val="26"/>
          <w:lang w:val="fr-FR"/>
        </w:rPr>
      </w:pPr>
      <w:r w:rsidRPr="00887D07">
        <w:rPr>
          <w:szCs w:val="26"/>
          <w:lang w:val="fr-FR"/>
        </w:rPr>
        <w:t>(202) 502-6527</w:t>
      </w:r>
    </w:p>
    <w:p w14:paraId="6B179B09" w14:textId="77777777" w:rsidR="00143FAC" w:rsidRPr="00887D07" w:rsidRDefault="00F7334F" w:rsidP="00143FAC">
      <w:pPr>
        <w:widowControl/>
        <w:rPr>
          <w:szCs w:val="26"/>
          <w:lang w:val="fr-FR"/>
        </w:rPr>
      </w:pPr>
      <w:r w:rsidRPr="00887D07">
        <w:rPr>
          <w:szCs w:val="26"/>
          <w:lang w:val="fr-FR"/>
        </w:rPr>
        <w:lastRenderedPageBreak/>
        <w:t>Andrew.K</w:t>
      </w:r>
      <w:r w:rsidR="00143FAC" w:rsidRPr="00887D07">
        <w:rPr>
          <w:szCs w:val="26"/>
          <w:lang w:val="fr-FR"/>
        </w:rPr>
        <w:t>nudsen@ferc.gov</w:t>
      </w:r>
    </w:p>
    <w:p w14:paraId="03A38F9A" w14:textId="77777777" w:rsidR="00D1724D" w:rsidRPr="00887D07" w:rsidRDefault="00D1724D" w:rsidP="00D1724D">
      <w:pPr>
        <w:rPr>
          <w:szCs w:val="26"/>
          <w:lang w:val="fr-FR"/>
        </w:rPr>
      </w:pPr>
    </w:p>
    <w:p w14:paraId="34C8A6A4" w14:textId="77777777" w:rsidR="00EE265E" w:rsidRPr="00887D07" w:rsidRDefault="00EE265E" w:rsidP="00EE265E">
      <w:pPr>
        <w:rPr>
          <w:bCs/>
          <w:szCs w:val="26"/>
          <w:lang w:val="fr-FR"/>
        </w:rPr>
      </w:pPr>
      <w:r w:rsidRPr="00887D07">
        <w:rPr>
          <w:bCs/>
          <w:szCs w:val="26"/>
          <w:lang w:val="fr-FR"/>
        </w:rPr>
        <w:t>James Sarikas</w:t>
      </w:r>
      <w:r w:rsidRPr="00887D07">
        <w:rPr>
          <w:szCs w:val="26"/>
          <w:lang w:val="fr-FR"/>
        </w:rPr>
        <w:t xml:space="preserve"> (Technical Information)</w:t>
      </w:r>
    </w:p>
    <w:p w14:paraId="10ADB50D" w14:textId="77777777" w:rsidR="00EE265E" w:rsidRPr="00D1724D" w:rsidRDefault="00EE265E" w:rsidP="00EE265E">
      <w:pPr>
        <w:rPr>
          <w:szCs w:val="26"/>
        </w:rPr>
      </w:pPr>
      <w:r w:rsidRPr="00D1724D">
        <w:rPr>
          <w:szCs w:val="26"/>
        </w:rPr>
        <w:t>Office of Energy Markets Regulation</w:t>
      </w:r>
    </w:p>
    <w:p w14:paraId="73077488" w14:textId="77777777" w:rsidR="00EE265E" w:rsidRPr="00D1724D" w:rsidRDefault="00EE265E" w:rsidP="00EE265E">
      <w:pPr>
        <w:rPr>
          <w:szCs w:val="26"/>
        </w:rPr>
      </w:pPr>
      <w:r w:rsidRPr="00D1724D">
        <w:rPr>
          <w:szCs w:val="26"/>
        </w:rPr>
        <w:t xml:space="preserve">Federal Energy Regulatory Commission </w:t>
      </w:r>
    </w:p>
    <w:p w14:paraId="000E8A2F" w14:textId="77777777" w:rsidR="00EE265E" w:rsidRPr="00D1724D" w:rsidRDefault="00EE265E" w:rsidP="00EE265E">
      <w:pPr>
        <w:rPr>
          <w:szCs w:val="26"/>
        </w:rPr>
      </w:pPr>
      <w:r w:rsidRPr="00D1724D">
        <w:rPr>
          <w:szCs w:val="26"/>
        </w:rPr>
        <w:t xml:space="preserve">888 First Street, NE </w:t>
      </w:r>
    </w:p>
    <w:p w14:paraId="48D7DB74" w14:textId="77777777" w:rsidR="00EE265E" w:rsidRPr="00D1724D" w:rsidRDefault="00EE265E" w:rsidP="00EE265E">
      <w:pPr>
        <w:rPr>
          <w:szCs w:val="26"/>
        </w:rPr>
      </w:pPr>
      <w:r w:rsidRPr="00D1724D">
        <w:rPr>
          <w:szCs w:val="26"/>
        </w:rPr>
        <w:t xml:space="preserve">Washington, DC  20426 </w:t>
      </w:r>
    </w:p>
    <w:p w14:paraId="1C0ADBB1" w14:textId="77777777" w:rsidR="00EE265E" w:rsidRPr="00D1724D" w:rsidRDefault="00EE265E" w:rsidP="00EE265E">
      <w:pPr>
        <w:rPr>
          <w:szCs w:val="26"/>
        </w:rPr>
      </w:pPr>
      <w:r w:rsidRPr="00D1724D">
        <w:rPr>
          <w:szCs w:val="26"/>
        </w:rPr>
        <w:t>(202) 502-</w:t>
      </w:r>
      <w:r>
        <w:rPr>
          <w:szCs w:val="26"/>
        </w:rPr>
        <w:t>6831</w:t>
      </w:r>
    </w:p>
    <w:p w14:paraId="679AE1A7" w14:textId="77777777" w:rsidR="00EE265E" w:rsidRPr="00D1724D" w:rsidRDefault="00F7334F" w:rsidP="00EE265E">
      <w:r>
        <w:t>James.S</w:t>
      </w:r>
      <w:r w:rsidR="00EE265E">
        <w:t>arikas@ferc.gov</w:t>
      </w:r>
    </w:p>
    <w:p w14:paraId="3BCFA107" w14:textId="77777777" w:rsidR="00EE265E" w:rsidRDefault="00EE265E" w:rsidP="00D1724D">
      <w:pPr>
        <w:rPr>
          <w:szCs w:val="26"/>
        </w:rPr>
      </w:pPr>
    </w:p>
    <w:p w14:paraId="27616FD2" w14:textId="77777777" w:rsidR="00143FAC" w:rsidRPr="00D1724D" w:rsidRDefault="00143FAC" w:rsidP="00143FAC">
      <w:pPr>
        <w:rPr>
          <w:szCs w:val="26"/>
        </w:rPr>
      </w:pPr>
      <w:r w:rsidRPr="00481DD8">
        <w:rPr>
          <w:bCs/>
          <w:szCs w:val="26"/>
        </w:rPr>
        <w:t>Scott Everngam</w:t>
      </w:r>
      <w:r w:rsidRPr="00D1724D">
        <w:rPr>
          <w:szCs w:val="26"/>
        </w:rPr>
        <w:t xml:space="preserve"> (Technical Information)</w:t>
      </w:r>
    </w:p>
    <w:p w14:paraId="600BA2CE" w14:textId="77777777" w:rsidR="00143FAC" w:rsidRPr="00D1724D" w:rsidRDefault="00143FAC" w:rsidP="00143FAC">
      <w:pPr>
        <w:rPr>
          <w:szCs w:val="26"/>
        </w:rPr>
      </w:pPr>
      <w:r w:rsidRPr="00D1724D">
        <w:rPr>
          <w:szCs w:val="26"/>
        </w:rPr>
        <w:t>Office of Energy Markets Regulation</w:t>
      </w:r>
    </w:p>
    <w:p w14:paraId="397198AC" w14:textId="77777777" w:rsidR="00143FAC" w:rsidRPr="00D1724D" w:rsidRDefault="00143FAC" w:rsidP="00143FAC">
      <w:pPr>
        <w:rPr>
          <w:szCs w:val="26"/>
        </w:rPr>
      </w:pPr>
      <w:r w:rsidRPr="00D1724D">
        <w:rPr>
          <w:szCs w:val="26"/>
        </w:rPr>
        <w:t xml:space="preserve">Federal Energy Regulatory Commission </w:t>
      </w:r>
    </w:p>
    <w:p w14:paraId="55FABE2C" w14:textId="77777777" w:rsidR="00143FAC" w:rsidRPr="00D1724D" w:rsidRDefault="00143FAC" w:rsidP="00143FAC">
      <w:pPr>
        <w:rPr>
          <w:szCs w:val="26"/>
        </w:rPr>
      </w:pPr>
      <w:r w:rsidRPr="00D1724D">
        <w:rPr>
          <w:szCs w:val="26"/>
        </w:rPr>
        <w:t xml:space="preserve">888 First Street, NE </w:t>
      </w:r>
    </w:p>
    <w:p w14:paraId="0F5E86F6" w14:textId="77777777" w:rsidR="00143FAC" w:rsidRPr="00D1724D" w:rsidRDefault="00143FAC" w:rsidP="00143FAC">
      <w:pPr>
        <w:rPr>
          <w:szCs w:val="26"/>
        </w:rPr>
      </w:pPr>
      <w:r w:rsidRPr="00D1724D">
        <w:rPr>
          <w:szCs w:val="26"/>
        </w:rPr>
        <w:t xml:space="preserve">Washington, DC  20426 </w:t>
      </w:r>
    </w:p>
    <w:p w14:paraId="386C5133" w14:textId="77777777" w:rsidR="00143FAC" w:rsidRPr="00D1724D" w:rsidRDefault="00143FAC" w:rsidP="00143FAC">
      <w:pPr>
        <w:rPr>
          <w:szCs w:val="26"/>
        </w:rPr>
      </w:pPr>
      <w:r w:rsidRPr="00D1724D">
        <w:rPr>
          <w:szCs w:val="26"/>
        </w:rPr>
        <w:t>(202) 502-</w:t>
      </w:r>
      <w:r>
        <w:rPr>
          <w:szCs w:val="26"/>
        </w:rPr>
        <w:t>6614</w:t>
      </w:r>
    </w:p>
    <w:p w14:paraId="2E73F675" w14:textId="77777777" w:rsidR="00143FAC" w:rsidRPr="00D1724D" w:rsidRDefault="00F7334F" w:rsidP="00143FAC">
      <w:r>
        <w:t>Scott.E</w:t>
      </w:r>
      <w:r w:rsidR="00143FAC">
        <w:t>verngam@ferc.gov</w:t>
      </w:r>
    </w:p>
    <w:p w14:paraId="31C2B3AE" w14:textId="77777777" w:rsidR="00143FAC" w:rsidRPr="00D1724D" w:rsidRDefault="00143FAC" w:rsidP="00D1724D">
      <w:pPr>
        <w:rPr>
          <w:szCs w:val="26"/>
        </w:rPr>
      </w:pPr>
    </w:p>
    <w:p w14:paraId="1573F780" w14:textId="77777777" w:rsidR="00C72F3F" w:rsidRDefault="00D1724D" w:rsidP="00D0045D">
      <w:pPr>
        <w:tabs>
          <w:tab w:val="right" w:pos="9360"/>
        </w:tabs>
        <w:rPr>
          <w:szCs w:val="26"/>
        </w:rPr>
      </w:pPr>
      <w:r w:rsidRPr="00D1724D">
        <w:rPr>
          <w:szCs w:val="26"/>
          <w:u w:val="single"/>
        </w:rPr>
        <w:t>SUPPLEMENTARY INFORMATION</w:t>
      </w:r>
      <w:r w:rsidRPr="00D1724D">
        <w:rPr>
          <w:szCs w:val="26"/>
        </w:rPr>
        <w:t xml:space="preserve">: </w:t>
      </w:r>
    </w:p>
    <w:p w14:paraId="1CEAA273" w14:textId="77777777" w:rsidR="00C72F3F" w:rsidRDefault="00C72F3F">
      <w:pPr>
        <w:widowControl/>
        <w:autoSpaceDE/>
        <w:autoSpaceDN/>
        <w:adjustRightInd/>
        <w:rPr>
          <w:szCs w:val="26"/>
        </w:rPr>
        <w:sectPr w:rsidR="00C72F3F" w:rsidSect="003B2D78">
          <w:headerReference w:type="default" r:id="rId12"/>
          <w:headerReference w:type="first" r:id="rId13"/>
          <w:pgSz w:w="12240" w:h="15840"/>
          <w:pgMar w:top="1296" w:right="1296" w:bottom="1296" w:left="1296" w:header="720" w:footer="1440" w:gutter="0"/>
          <w:pgNumType w:fmt="numberInDash" w:start="1"/>
          <w:cols w:space="720"/>
          <w:noEndnote/>
          <w:titlePg/>
          <w:docGrid w:linePitch="354"/>
        </w:sectPr>
      </w:pPr>
    </w:p>
    <w:p w14:paraId="7C2FD4D4" w14:textId="77777777" w:rsidR="00175C69" w:rsidRPr="00175C69" w:rsidRDefault="00175C69" w:rsidP="00175C69">
      <w:pPr>
        <w:widowControl/>
        <w:autoSpaceDE/>
        <w:autoSpaceDN/>
        <w:adjustRightInd/>
        <w:jc w:val="center"/>
      </w:pPr>
      <w:bookmarkStart w:id="0" w:name="_End_TOC"/>
      <w:bookmarkEnd w:id="0"/>
      <w:r w:rsidRPr="00175C69">
        <w:lastRenderedPageBreak/>
        <w:t>162 FERC ¶ 61,227</w:t>
      </w:r>
    </w:p>
    <w:p w14:paraId="3288912F" w14:textId="77777777" w:rsidR="00157644" w:rsidRPr="000E576A" w:rsidRDefault="00157644" w:rsidP="00A712C1">
      <w:pPr>
        <w:jc w:val="center"/>
        <w:outlineLvl w:val="0"/>
      </w:pPr>
      <w:r w:rsidRPr="000E576A">
        <w:t>UNITED STATES OF AMERICA</w:t>
      </w:r>
    </w:p>
    <w:p w14:paraId="3C367B6F" w14:textId="77777777" w:rsidR="00157644" w:rsidRDefault="00157644" w:rsidP="00A712C1">
      <w:pPr>
        <w:jc w:val="center"/>
      </w:pPr>
      <w:r w:rsidRPr="000E576A">
        <w:t>FEDERAL ENERGY REGULATORY COMMISSION</w:t>
      </w:r>
    </w:p>
    <w:p w14:paraId="7B344BC3" w14:textId="77777777" w:rsidR="003B2D78" w:rsidRDefault="003B2D78" w:rsidP="00A712C1">
      <w:pPr>
        <w:jc w:val="center"/>
      </w:pPr>
    </w:p>
    <w:p w14:paraId="204B6DC7" w14:textId="7B3613D0" w:rsidR="003B2D78" w:rsidRPr="003B2D78" w:rsidRDefault="003B2D78" w:rsidP="003B2D78">
      <w:pPr>
        <w:widowControl/>
      </w:pPr>
      <w:r w:rsidRPr="003B2D78">
        <w:t>Before Commissioners:  Kevin J. McIntyre, Chairman;</w:t>
      </w:r>
    </w:p>
    <w:p w14:paraId="64A31B88" w14:textId="792361F8" w:rsidR="003B2D78" w:rsidRPr="00887D07" w:rsidRDefault="003B2D78" w:rsidP="003B2D78">
      <w:pPr>
        <w:widowControl/>
        <w:rPr>
          <w:lang w:val="fr-FR"/>
        </w:rPr>
      </w:pPr>
      <w:r w:rsidRPr="003B2D78">
        <w:t xml:space="preserve">                                        </w:t>
      </w:r>
      <w:r w:rsidRPr="00887D07">
        <w:rPr>
          <w:lang w:val="fr-FR"/>
        </w:rPr>
        <w:t>Cheryl A. LaFleur, Neil Chatterjee,</w:t>
      </w:r>
    </w:p>
    <w:p w14:paraId="5D726127" w14:textId="0805EAF7" w:rsidR="003B2D78" w:rsidRPr="000E576A" w:rsidRDefault="003B2D78" w:rsidP="003B2D78">
      <w:pPr>
        <w:widowControl/>
      </w:pPr>
      <w:r w:rsidRPr="00887D07">
        <w:rPr>
          <w:lang w:val="fr-FR"/>
        </w:rPr>
        <w:t xml:space="preserve">                                        </w:t>
      </w:r>
      <w:r w:rsidRPr="003B2D78">
        <w:t>Robert F. Powelson, and Richard Glick.</w:t>
      </w:r>
    </w:p>
    <w:p w14:paraId="112A367B" w14:textId="77777777" w:rsidR="00157644" w:rsidRDefault="00157644" w:rsidP="00A712C1"/>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5580"/>
        <w:gridCol w:w="2160"/>
        <w:gridCol w:w="1620"/>
      </w:tblGrid>
      <w:tr w:rsidR="00157644" w:rsidRPr="000E576A" w14:paraId="6E3E7AB4" w14:textId="77777777" w:rsidTr="0046422A">
        <w:tc>
          <w:tcPr>
            <w:tcW w:w="5580" w:type="dxa"/>
            <w:shd w:val="clear" w:color="auto" w:fill="auto"/>
          </w:tcPr>
          <w:p w14:paraId="1B78C867" w14:textId="77777777" w:rsidR="00157644" w:rsidRPr="00E34E14" w:rsidRDefault="009209FF" w:rsidP="00E34E14">
            <w:pPr>
              <w:rPr>
                <w:szCs w:val="26"/>
              </w:rPr>
            </w:pPr>
            <w:r>
              <w:rPr>
                <w:szCs w:val="26"/>
              </w:rPr>
              <w:t xml:space="preserve">Inquiry Regarding </w:t>
            </w:r>
            <w:r w:rsidR="00E34E14">
              <w:rPr>
                <w:szCs w:val="26"/>
              </w:rPr>
              <w:t xml:space="preserve">the Commission’s Policy for Recovery of </w:t>
            </w:r>
            <w:r>
              <w:rPr>
                <w:szCs w:val="26"/>
              </w:rPr>
              <w:t xml:space="preserve">Income Tax </w:t>
            </w:r>
            <w:r w:rsidR="00E34E14">
              <w:rPr>
                <w:szCs w:val="26"/>
              </w:rPr>
              <w:t>Costs</w:t>
            </w:r>
          </w:p>
        </w:tc>
        <w:tc>
          <w:tcPr>
            <w:tcW w:w="2160" w:type="dxa"/>
            <w:shd w:val="clear" w:color="auto" w:fill="auto"/>
          </w:tcPr>
          <w:p w14:paraId="03ACE858" w14:textId="77777777" w:rsidR="00157644" w:rsidRPr="00002653" w:rsidRDefault="00756268" w:rsidP="00A712C1">
            <w:pPr>
              <w:tabs>
                <w:tab w:val="left" w:pos="720"/>
                <w:tab w:val="left" w:pos="1440"/>
                <w:tab w:val="left" w:pos="2880"/>
                <w:tab w:val="left" w:pos="4320"/>
                <w:tab w:val="left" w:pos="5040"/>
                <w:tab w:val="left" w:pos="5760"/>
                <w:tab w:val="left" w:pos="6480"/>
                <w:tab w:val="left" w:pos="7200"/>
              </w:tabs>
              <w:jc w:val="right"/>
            </w:pPr>
            <w:r w:rsidRPr="00002653">
              <w:t>Docket No.</w:t>
            </w:r>
          </w:p>
        </w:tc>
        <w:tc>
          <w:tcPr>
            <w:tcW w:w="1620" w:type="dxa"/>
            <w:shd w:val="clear" w:color="auto" w:fill="auto"/>
            <w:tcMar>
              <w:left w:w="144" w:type="dxa"/>
            </w:tcMar>
          </w:tcPr>
          <w:p w14:paraId="1B5A320A" w14:textId="77777777" w:rsidR="00157644" w:rsidRPr="00002653" w:rsidRDefault="00002653" w:rsidP="00377F96">
            <w:pPr>
              <w:tabs>
                <w:tab w:val="left" w:pos="720"/>
                <w:tab w:val="left" w:pos="1440"/>
                <w:tab w:val="left" w:pos="2880"/>
                <w:tab w:val="left" w:pos="4320"/>
                <w:tab w:val="left" w:pos="5040"/>
                <w:tab w:val="left" w:pos="5760"/>
                <w:tab w:val="left" w:pos="6480"/>
                <w:tab w:val="left" w:pos="7200"/>
              </w:tabs>
              <w:ind w:left="-54"/>
            </w:pPr>
            <w:r w:rsidRPr="00002653">
              <w:t>PL17-1-000</w:t>
            </w:r>
          </w:p>
        </w:tc>
      </w:tr>
    </w:tbl>
    <w:p w14:paraId="6DF639C2" w14:textId="77777777" w:rsidR="002F4520" w:rsidRPr="000E576A" w:rsidRDefault="002F4520" w:rsidP="00A712C1"/>
    <w:p w14:paraId="1A12B6BF" w14:textId="7F5E4A59" w:rsidR="00223BFE" w:rsidRDefault="006C2516" w:rsidP="00A712C1">
      <w:pPr>
        <w:jc w:val="center"/>
      </w:pPr>
      <w:r>
        <w:t xml:space="preserve">REVISED </w:t>
      </w:r>
      <w:r w:rsidR="00223BFE">
        <w:t xml:space="preserve">POLICY STATEMENT ON TREATMENT OF INCOME TAXES </w:t>
      </w:r>
    </w:p>
    <w:p w14:paraId="32AA2F13" w14:textId="77777777" w:rsidR="00271ED9" w:rsidRDefault="00271ED9" w:rsidP="00C72F3F">
      <w:pPr>
        <w:widowControl/>
        <w:jc w:val="center"/>
        <w:rPr>
          <w:highlight w:val="yellow"/>
        </w:rPr>
      </w:pPr>
    </w:p>
    <w:p w14:paraId="45DCAE10" w14:textId="32D046AE" w:rsidR="00157644" w:rsidRDefault="003B2D78" w:rsidP="003B2D78">
      <w:pPr>
        <w:widowControl/>
        <w:jc w:val="center"/>
      </w:pPr>
      <w:r w:rsidRPr="003B2D78">
        <w:t xml:space="preserve">(Issued </w:t>
      </w:r>
      <w:r>
        <w:t>March 15</w:t>
      </w:r>
      <w:r w:rsidRPr="003B2D78">
        <w:t>, 2018)</w:t>
      </w:r>
    </w:p>
    <w:p w14:paraId="3E0E8490" w14:textId="77777777" w:rsidR="00157644" w:rsidRPr="000E576A" w:rsidRDefault="00157644" w:rsidP="00A712C1"/>
    <w:p w14:paraId="4E005F9A" w14:textId="77777777" w:rsidR="00223BFE" w:rsidRPr="009D39F4" w:rsidRDefault="00223BFE" w:rsidP="00223BFE">
      <w:pPr>
        <w:pStyle w:val="FERCparanumber"/>
      </w:pPr>
      <w:r w:rsidRPr="009D39F4">
        <w:t>On December 15, 2016, the Commission issued a Notice of Inquiry (NOI)</w:t>
      </w:r>
      <w:r w:rsidRPr="009D39F4">
        <w:rPr>
          <w:rStyle w:val="FootnoteReference"/>
        </w:rPr>
        <w:footnoteReference w:id="2"/>
      </w:r>
      <w:r w:rsidRPr="009D39F4">
        <w:t xml:space="preserve"> following </w:t>
      </w:r>
      <w:r>
        <w:t xml:space="preserve">the decision of the </w:t>
      </w:r>
      <w:r w:rsidRPr="00223BFE">
        <w:t>United</w:t>
      </w:r>
      <w:r>
        <w:t xml:space="preserve"> States Court of Appeals for the District of Columbia Circuit (D.C. Circuit) in </w:t>
      </w:r>
      <w:r>
        <w:rPr>
          <w:i/>
        </w:rPr>
        <w:t>United Airlines</w:t>
      </w:r>
      <w:r>
        <w:t>.</w:t>
      </w:r>
      <w:r w:rsidRPr="009D39F4">
        <w:rPr>
          <w:rStyle w:val="FootnoteReference"/>
        </w:rPr>
        <w:footnoteReference w:id="3"/>
      </w:r>
      <w:r w:rsidRPr="009D39F4">
        <w:t xml:space="preserve"> </w:t>
      </w:r>
      <w:r>
        <w:t xml:space="preserve"> In that decision, the D.C. Circuit</w:t>
      </w:r>
      <w:r w:rsidRPr="009D39F4">
        <w:t xml:space="preserve"> held </w:t>
      </w:r>
      <w:r>
        <w:t>that</w:t>
      </w:r>
      <w:r w:rsidRPr="009D39F4">
        <w:t xml:space="preserve"> the Commission failed to demonstrate that there was no double recovery of</w:t>
      </w:r>
      <w:r>
        <w:t xml:space="preserve"> income tax costs</w:t>
      </w:r>
      <w:r w:rsidRPr="009D39F4">
        <w:t xml:space="preserve"> when permitting SFPP, L.P. (SFPP), a master limited partnership (MLP),</w:t>
      </w:r>
      <w:r>
        <w:rPr>
          <w:rStyle w:val="FootnoteReference"/>
        </w:rPr>
        <w:footnoteReference w:id="4"/>
      </w:r>
      <w:r w:rsidRPr="009D39F4">
        <w:t xml:space="preserve"> to recover both an income tax allowance and a return on equity (ROE) determined pursuant to the discounted cash flow (DCF) methodology.</w:t>
      </w:r>
      <w:r>
        <w:t xml:space="preserve">  </w:t>
      </w:r>
      <w:r w:rsidRPr="009D39F4">
        <w:t>Th</w:t>
      </w:r>
      <w:r>
        <w:t xml:space="preserve">e NOI sought comments regarding the double-recovery concern. </w:t>
      </w:r>
      <w:r w:rsidRPr="009D39F4">
        <w:t xml:space="preserve">     </w:t>
      </w:r>
    </w:p>
    <w:p w14:paraId="7F60883C" w14:textId="4CF34457" w:rsidR="00223BFE" w:rsidRDefault="00223BFE" w:rsidP="00271ED9">
      <w:pPr>
        <w:pStyle w:val="FERCparanumber"/>
      </w:pPr>
      <w:r>
        <w:t>As</w:t>
      </w:r>
      <w:r w:rsidRPr="00445205">
        <w:t xml:space="preserve"> </w:t>
      </w:r>
      <w:r>
        <w:t>explained below, the Commission</w:t>
      </w:r>
      <w:r w:rsidR="006C2516">
        <w:t xml:space="preserve"> revises the 2005 Income Tax Policy Statement</w:t>
      </w:r>
      <w:r w:rsidR="006C2516">
        <w:rPr>
          <w:rStyle w:val="FootnoteReference"/>
        </w:rPr>
        <w:footnoteReference w:id="5"/>
      </w:r>
      <w:r w:rsidR="006C2516">
        <w:t xml:space="preserve"> and</w:t>
      </w:r>
      <w:r>
        <w:t xml:space="preserve"> will no longer permit MLPs to recover an income tax allowance in their </w:t>
      </w:r>
      <w:r w:rsidRPr="00271ED9">
        <w:t>cost</w:t>
      </w:r>
      <w:r>
        <w:t xml:space="preserve"> of service.  To the extent the comments in this proceeding raise arguments that an MLP </w:t>
      </w:r>
      <w:r>
        <w:lastRenderedPageBreak/>
        <w:t xml:space="preserve">pipeline </w:t>
      </w:r>
      <w:r w:rsidR="005F49D4">
        <w:br/>
      </w:r>
      <w:r>
        <w:t>should continue to receive an income tax allowance, those comments fail (a) to undermine the conclusion</w:t>
      </w:r>
      <w:r w:rsidRPr="00FE3FCD">
        <w:t xml:space="preserve"> that</w:t>
      </w:r>
      <w:r>
        <w:t xml:space="preserve"> </w:t>
      </w:r>
      <w:r w:rsidRPr="00FE3FCD">
        <w:t>a double re</w:t>
      </w:r>
      <w:r>
        <w:t xml:space="preserve">covery results from granting an MLP </w:t>
      </w:r>
      <w:r w:rsidRPr="00FE3FCD">
        <w:t xml:space="preserve">both an income </w:t>
      </w:r>
      <w:r w:rsidR="005F49D4">
        <w:br/>
      </w:r>
      <w:r w:rsidRPr="00FE3FCD">
        <w:t xml:space="preserve">tax allowance and a DCF </w:t>
      </w:r>
      <w:r>
        <w:t>ROE or (b) to justify preserving an income tax allowance notwithstanding such a double recovery.  Consistent with this policy, the Commission is concurrently issuing a Remand Order</w:t>
      </w:r>
      <w:r w:rsidRPr="00CC2573">
        <w:rPr>
          <w:rStyle w:val="FootnoteReference"/>
        </w:rPr>
        <w:footnoteReference w:id="6"/>
      </w:r>
      <w:r w:rsidRPr="00CC2573">
        <w:t xml:space="preserve"> </w:t>
      </w:r>
      <w:r>
        <w:t xml:space="preserve">denying SFPP an income tax allowance in response to </w:t>
      </w:r>
      <w:r>
        <w:rPr>
          <w:i/>
        </w:rPr>
        <w:t>United Airlines.</w:t>
      </w:r>
      <w:r>
        <w:t xml:space="preserve"> </w:t>
      </w:r>
    </w:p>
    <w:p w14:paraId="35575837" w14:textId="749C5BE5" w:rsidR="00223BFE" w:rsidRPr="000E576A" w:rsidRDefault="00223BFE" w:rsidP="00271ED9">
      <w:pPr>
        <w:pStyle w:val="FERCparanumber"/>
      </w:pPr>
      <w:r>
        <w:t xml:space="preserve">In addition, this record does not provide a basis for addressing the </w:t>
      </w:r>
      <w:r>
        <w:rPr>
          <w:i/>
        </w:rPr>
        <w:t xml:space="preserve">United Airlines </w:t>
      </w:r>
      <w:r>
        <w:t xml:space="preserve">double-recovery issue </w:t>
      </w:r>
      <w:r w:rsidRPr="00271ED9">
        <w:t>for</w:t>
      </w:r>
      <w:r>
        <w:t xml:space="preserve"> the innumerable partnership</w:t>
      </w:r>
      <w:r w:rsidR="009A5DEE">
        <w:t xml:space="preserve"> and other pass-through business</w:t>
      </w:r>
      <w:r>
        <w:t xml:space="preserve"> forms that are not MLPs like SFPP.  While all partnerships seeking to recover an income tax allowance will need to address the </w:t>
      </w:r>
      <w:r w:rsidRPr="008D6930">
        <w:t xml:space="preserve">double-recovery concern, the Commission will address the application of </w:t>
      </w:r>
      <w:r w:rsidRPr="008D6930">
        <w:rPr>
          <w:i/>
        </w:rPr>
        <w:t>United Airlines</w:t>
      </w:r>
      <w:r w:rsidRPr="008D6930">
        <w:t xml:space="preserve"> to non-MLP partnership</w:t>
      </w:r>
      <w:r w:rsidR="009A5DEE">
        <w:t xml:space="preserve"> or other pass-through business</w:t>
      </w:r>
      <w:r w:rsidRPr="008D6930">
        <w:t xml:space="preserve"> forms </w:t>
      </w:r>
      <w:r>
        <w:t>as those issues arise in subsequent proceedings.</w:t>
      </w:r>
    </w:p>
    <w:p w14:paraId="72DFF78A" w14:textId="77777777" w:rsidR="00223BFE" w:rsidRPr="005A4A1D" w:rsidRDefault="00223BFE" w:rsidP="00223BFE">
      <w:pPr>
        <w:pStyle w:val="Heading1"/>
        <w:rPr>
          <w:u w:val="none"/>
        </w:rPr>
      </w:pPr>
      <w:r>
        <w:t>Background</w:t>
      </w:r>
      <w:r>
        <w:rPr>
          <w:u w:val="none"/>
        </w:rPr>
        <w:t xml:space="preserve">  </w:t>
      </w:r>
    </w:p>
    <w:p w14:paraId="152866DE" w14:textId="77777777" w:rsidR="00223BFE" w:rsidRDefault="00223BFE" w:rsidP="00271ED9">
      <w:pPr>
        <w:pStyle w:val="FERCparanumber"/>
      </w:pPr>
      <w:r w:rsidRPr="00FE3FCD">
        <w:t xml:space="preserve">Prior to </w:t>
      </w:r>
      <w:r w:rsidRPr="00FE3FCD">
        <w:rPr>
          <w:i/>
          <w:iCs/>
        </w:rPr>
        <w:t>United Airlines</w:t>
      </w:r>
      <w:r w:rsidRPr="00FE3FCD">
        <w:t>, the Commission</w:t>
      </w:r>
      <w:r>
        <w:t>’s 2005 Income Tax Policy Statement allowed all</w:t>
      </w:r>
      <w:r w:rsidRPr="00FE3FCD">
        <w:t xml:space="preserve"> partnership</w:t>
      </w:r>
      <w:r>
        <w:t xml:space="preserve"> entities (including MLPs, such as SFPP) </w:t>
      </w:r>
      <w:r w:rsidRPr="00FE3FCD">
        <w:t xml:space="preserve">to recover an income tax allowance for the partners’ tax costs much like a corporation receives an income tax allowance for its corporate </w:t>
      </w:r>
      <w:r w:rsidRPr="00271ED9">
        <w:t>income</w:t>
      </w:r>
      <w:r w:rsidRPr="00FE3FCD">
        <w:t xml:space="preserve"> tax costs.</w:t>
      </w:r>
      <w:r w:rsidRPr="00FE3FCD">
        <w:rPr>
          <w:rStyle w:val="FootnoteReference"/>
          <w:bCs/>
        </w:rPr>
        <w:footnoteReference w:id="7"/>
      </w:r>
      <w:r>
        <w:t xml:space="preserve">  The Commission explained that while a partnership itself does not pay taxes, the partners pay income taxes based upon the partnership income and these partner-level taxes could be imputed to the pipeline.</w:t>
      </w:r>
      <w:r>
        <w:rPr>
          <w:rStyle w:val="FootnoteReference"/>
        </w:rPr>
        <w:footnoteReference w:id="8"/>
      </w:r>
    </w:p>
    <w:p w14:paraId="49FEFE55" w14:textId="02A76623" w:rsidR="00223BFE" w:rsidRPr="00763BF9" w:rsidRDefault="00223BFE" w:rsidP="00271ED9">
      <w:pPr>
        <w:pStyle w:val="FERCparanumber"/>
      </w:pPr>
      <w:r w:rsidRPr="00FE3FCD">
        <w:t xml:space="preserve">Alongside this income tax policy, the Commission has used the DCF methodology </w:t>
      </w:r>
      <w:r w:rsidR="00E85678">
        <w:br/>
      </w:r>
      <w:r w:rsidRPr="00FE3FCD">
        <w:t>to determine the rate of return regulated entities need to attract capital.</w:t>
      </w:r>
      <w:r w:rsidRPr="00FE3FCD">
        <w:rPr>
          <w:rStyle w:val="FootnoteReference"/>
          <w:bCs/>
        </w:rPr>
        <w:footnoteReference w:id="9"/>
      </w:r>
      <w:r w:rsidRPr="00763BF9">
        <w:rPr>
          <w:b/>
          <w:bCs/>
        </w:rPr>
        <w:t xml:space="preserve">  </w:t>
      </w:r>
      <w:r w:rsidRPr="00FE3FCD">
        <w:t xml:space="preserve">Under the DCF methodology, the required rate of return is </w:t>
      </w:r>
      <w:r w:rsidRPr="00FE3FCD">
        <w:lastRenderedPageBreak/>
        <w:t>estimated to equal</w:t>
      </w:r>
      <w:r>
        <w:t xml:space="preserve"> a corporate</w:t>
      </w:r>
      <w:r w:rsidRPr="00FE3FCD">
        <w:t xml:space="preserve"> investor</w:t>
      </w:r>
      <w:r>
        <w:t>’</w:t>
      </w:r>
      <w:r w:rsidRPr="00FE3FCD">
        <w:t>s current dividend yield (dividends divided by share price) plus the projected future growth rate of dividends, such that k = D/P + g.</w:t>
      </w:r>
      <w:r w:rsidRPr="00FE3FCD">
        <w:rPr>
          <w:rStyle w:val="FootnoteReference"/>
          <w:bCs/>
        </w:rPr>
        <w:footnoteReference w:id="10"/>
      </w:r>
      <w:r>
        <w:t xml:space="preserve">  Similarly, for an MLP, the Commission uses the same formula, substituting unitholder distributions for dividends, unit price for share price, and using a lower long-term growth rate.</w:t>
      </w:r>
      <w:r>
        <w:rPr>
          <w:rStyle w:val="FootnoteReference"/>
        </w:rPr>
        <w:footnoteReference w:id="11"/>
      </w:r>
      <w:r w:rsidRPr="00763BF9" w:rsidDel="00725B19">
        <w:rPr>
          <w:b/>
          <w:bCs/>
        </w:rPr>
        <w:t xml:space="preserve"> </w:t>
      </w:r>
    </w:p>
    <w:p w14:paraId="566FD8BF" w14:textId="77777777" w:rsidR="00223BFE" w:rsidRPr="00876978" w:rsidRDefault="00223BFE" w:rsidP="00271ED9">
      <w:pPr>
        <w:pStyle w:val="FERCparanumber"/>
        <w:rPr>
          <w:szCs w:val="24"/>
        </w:rPr>
      </w:pPr>
      <w:r>
        <w:t>In addressing SFPP’s West Line</w:t>
      </w:r>
      <w:r w:rsidRPr="00763BF9">
        <w:t xml:space="preserve"> rate case</w:t>
      </w:r>
      <w:r>
        <w:t xml:space="preserve"> filed in 2008</w:t>
      </w:r>
      <w:r w:rsidRPr="00763BF9">
        <w:t>, the Commission applied its</w:t>
      </w:r>
      <w:r>
        <w:t xml:space="preserve"> 2005</w:t>
      </w:r>
      <w:r w:rsidRPr="00763BF9">
        <w:t xml:space="preserve"> policy that allows a </w:t>
      </w:r>
      <w:r w:rsidRPr="00271ED9">
        <w:t>partnership</w:t>
      </w:r>
      <w:r w:rsidRPr="00763BF9">
        <w:t xml:space="preserve"> to recover an income tax allowance.</w:t>
      </w:r>
      <w:r w:rsidRPr="00FE3FCD">
        <w:rPr>
          <w:rStyle w:val="FootnoteReference"/>
          <w:bCs/>
        </w:rPr>
        <w:footnoteReference w:id="12"/>
      </w:r>
      <w:r w:rsidRPr="00763BF9">
        <w:rPr>
          <w:b/>
          <w:bCs/>
        </w:rPr>
        <w:t xml:space="preserve"> </w:t>
      </w:r>
      <w:r>
        <w:t xml:space="preserve"> In </w:t>
      </w:r>
      <w:r>
        <w:rPr>
          <w:i/>
        </w:rPr>
        <w:t>United Airlines</w:t>
      </w:r>
      <w:r>
        <w:t>, the D.C. Circuit</w:t>
      </w:r>
      <w:r>
        <w:rPr>
          <w:i/>
        </w:rPr>
        <w:t xml:space="preserve"> </w:t>
      </w:r>
      <w:r>
        <w:t>remanded the Co</w:t>
      </w:r>
      <w:r w:rsidRPr="00763BF9">
        <w:t>mmission’s application of this policy, holding that the Commission failed to adequately explain why a double recovery did not result from allowing SFPP to recover both an income tax allowance and a ROE determined by the Commission’s DCF methodology.</w:t>
      </w:r>
      <w:r w:rsidRPr="00FE3FCD">
        <w:rPr>
          <w:rStyle w:val="FootnoteReference"/>
          <w:bCs/>
        </w:rPr>
        <w:footnoteReference w:id="13"/>
      </w:r>
      <w:r w:rsidRPr="00763BF9">
        <w:rPr>
          <w:b/>
          <w:bCs/>
        </w:rPr>
        <w:t xml:space="preserve">  </w:t>
      </w:r>
      <w:r w:rsidRPr="00FE3FCD">
        <w:t xml:space="preserve">Accordingly, the </w:t>
      </w:r>
      <w:r>
        <w:t>D.C. Circuit</w:t>
      </w:r>
      <w:r w:rsidRPr="00FE3FCD">
        <w:t xml:space="preserve"> remanded the decisions to the Commission to consider “mechanisms for which the Commission can demonstrate that there is no double recovery.”</w:t>
      </w:r>
      <w:r w:rsidRPr="00FE3FCD">
        <w:rPr>
          <w:rStyle w:val="FootnoteReference"/>
          <w:bCs/>
        </w:rPr>
        <w:footnoteReference w:id="14"/>
      </w:r>
      <w:r w:rsidRPr="00FE3FCD">
        <w:rPr>
          <w:b/>
          <w:bCs/>
        </w:rPr>
        <w:t xml:space="preserve">  </w:t>
      </w:r>
    </w:p>
    <w:p w14:paraId="1BDAF75F" w14:textId="76C0FA3B" w:rsidR="00223BFE" w:rsidRPr="009D644C" w:rsidRDefault="00223BFE" w:rsidP="00271ED9">
      <w:pPr>
        <w:pStyle w:val="FERCparanumber"/>
        <w:rPr>
          <w:rFonts w:eastAsia="Calibri"/>
        </w:rPr>
      </w:pPr>
      <w:r w:rsidRPr="005B6684">
        <w:lastRenderedPageBreak/>
        <w:t>In response, the Commission issued the December 201</w:t>
      </w:r>
      <w:r>
        <w:t>6</w:t>
      </w:r>
      <w:r w:rsidRPr="005B6684">
        <w:t xml:space="preserve"> NOI, soliciting comments on how to resolve any double recovery resulting from the </w:t>
      </w:r>
      <w:r>
        <w:t>2005 I</w:t>
      </w:r>
      <w:r w:rsidRPr="005B6684">
        <w:t xml:space="preserve">ncome </w:t>
      </w:r>
      <w:r>
        <w:t>T</w:t>
      </w:r>
      <w:r w:rsidRPr="005B6684">
        <w:t xml:space="preserve">ax </w:t>
      </w:r>
      <w:r>
        <w:t>Policy</w:t>
      </w:r>
      <w:r w:rsidRPr="005B6684">
        <w:t xml:space="preserve"> </w:t>
      </w:r>
      <w:r>
        <w:t xml:space="preserve">Statement </w:t>
      </w:r>
      <w:r w:rsidRPr="005B6684">
        <w:t xml:space="preserve">and rate of return policies.  </w:t>
      </w:r>
      <w:r w:rsidRPr="005B6684">
        <w:rPr>
          <w:rFonts w:eastAsia="Calibri"/>
        </w:rPr>
        <w:t xml:space="preserve">The </w:t>
      </w:r>
      <w:r w:rsidRPr="00271ED9">
        <w:rPr>
          <w:rFonts w:eastAsia="Calibri"/>
        </w:rPr>
        <w:t>Commission</w:t>
      </w:r>
      <w:r w:rsidR="005F56B5">
        <w:rPr>
          <w:rFonts w:eastAsia="Calibri"/>
        </w:rPr>
        <w:t xml:space="preserve"> received 24</w:t>
      </w:r>
      <w:r w:rsidRPr="005B6684">
        <w:rPr>
          <w:rFonts w:eastAsia="Calibri"/>
        </w:rPr>
        <w:t xml:space="preserve"> comments and 19 reply comments from customer, pipeline, and electric utility interests.  </w:t>
      </w:r>
    </w:p>
    <w:p w14:paraId="3A50C523" w14:textId="77777777" w:rsidR="00223BFE" w:rsidRDefault="00223BFE" w:rsidP="00223BFE">
      <w:pPr>
        <w:pStyle w:val="Heading1"/>
      </w:pPr>
      <w:r>
        <w:t>Discussion</w:t>
      </w:r>
    </w:p>
    <w:p w14:paraId="47A7B072" w14:textId="1BF6BF22" w:rsidR="00223BFE" w:rsidRDefault="00223BFE" w:rsidP="000E7FE0">
      <w:pPr>
        <w:pStyle w:val="FERCparanumber"/>
      </w:pPr>
      <w:r>
        <w:t xml:space="preserve">This </w:t>
      </w:r>
      <w:r w:rsidR="006C2516">
        <w:t xml:space="preserve">Revised </w:t>
      </w:r>
      <w:r>
        <w:t xml:space="preserve">Policy Statement explains the Commission’s conclusion </w:t>
      </w:r>
      <w:r w:rsidRPr="00100864">
        <w:t xml:space="preserve">following </w:t>
      </w:r>
      <w:r w:rsidRPr="000E7FE0">
        <w:rPr>
          <w:i/>
        </w:rPr>
        <w:t>United Airlines</w:t>
      </w:r>
      <w:r>
        <w:t xml:space="preserve"> </w:t>
      </w:r>
      <w:r w:rsidRPr="00E22C84">
        <w:t xml:space="preserve">that an impermissible </w:t>
      </w:r>
      <w:r w:rsidRPr="00271ED9">
        <w:t>double</w:t>
      </w:r>
      <w:r w:rsidRPr="00E22C84">
        <w:t xml:space="preserve"> recovery results from granting an MLP pipeline both an income tax allowance and a DCF ROE</w:t>
      </w:r>
      <w:r>
        <w:t xml:space="preserve">.  Accordingly, the Commission </w:t>
      </w:r>
      <w:r w:rsidR="00E85678">
        <w:br/>
      </w:r>
      <w:r>
        <w:t xml:space="preserve">will no longer permit MLPs to recover an income tax allowance in their cost of service.  </w:t>
      </w:r>
      <w:r w:rsidR="000E7FE0">
        <w:t xml:space="preserve">Therefore, the Commission instructs oil pipelines organized as MLPs to reflect the Commission’s elimination of the MLP income tax allowance in their Form No. 6, page 700 reporting.  </w:t>
      </w:r>
      <w:r w:rsidR="000E7FE0" w:rsidRPr="00271ED9">
        <w:t>Based upon this page 700 data, the Commission will</w:t>
      </w:r>
      <w:r w:rsidR="000E7FE0">
        <w:t xml:space="preserve"> incorporate the effects of this Revised Policy </w:t>
      </w:r>
      <w:r w:rsidR="000E7FE0" w:rsidRPr="00271ED9">
        <w:t>on industry-wide oil pipeline costs in the 2020 five-year review of the oil pipeline index level</w:t>
      </w:r>
      <w:r w:rsidR="000E7FE0">
        <w:t>.  T</w:t>
      </w:r>
      <w:r w:rsidR="00F6166C" w:rsidRPr="00271ED9">
        <w:t xml:space="preserve">he Commission is </w:t>
      </w:r>
      <w:r w:rsidR="000E7FE0">
        <w:t xml:space="preserve">also </w:t>
      </w:r>
      <w:r w:rsidR="00F6166C" w:rsidRPr="00271ED9">
        <w:t>concurrently issuing a Notice of Proposed Rulemaking that addresses the effects</w:t>
      </w:r>
      <w:r w:rsidR="000E7FE0">
        <w:t xml:space="preserve"> of this Revised Policy </w:t>
      </w:r>
      <w:r w:rsidR="00F6166C" w:rsidRPr="00271ED9">
        <w:t xml:space="preserve">on </w:t>
      </w:r>
      <w:r w:rsidR="000E7FE0">
        <w:t xml:space="preserve">the rates of </w:t>
      </w:r>
      <w:r w:rsidR="00F6166C">
        <w:t xml:space="preserve">interstate natural </w:t>
      </w:r>
      <w:r w:rsidR="00F6166C" w:rsidRPr="00271ED9">
        <w:t>gas pipeline</w:t>
      </w:r>
      <w:r w:rsidR="000E7FE0">
        <w:t>s organized as MLPs</w:t>
      </w:r>
      <w:r w:rsidR="00F6166C">
        <w:t>.</w:t>
      </w:r>
      <w:r w:rsidR="00F6166C">
        <w:rPr>
          <w:rStyle w:val="FootnoteReference"/>
        </w:rPr>
        <w:footnoteReference w:id="15"/>
      </w:r>
      <w:r w:rsidR="000E7FE0">
        <w:t xml:space="preserve">  </w:t>
      </w:r>
      <w:r>
        <w:t xml:space="preserve">For those partnerships that are not MLPs, the Commission will address such matters in subsequent proceedings.   </w:t>
      </w:r>
    </w:p>
    <w:p w14:paraId="0728F25D" w14:textId="77777777" w:rsidR="00223BFE" w:rsidRDefault="00223BFE" w:rsidP="00223BFE">
      <w:pPr>
        <w:pStyle w:val="Heading2"/>
      </w:pPr>
      <w:r>
        <w:t>An Impermissible Double Recovery Results from Granting an MLP Pipeline Both an Income Tax Allowance and a DCF ROE.</w:t>
      </w:r>
    </w:p>
    <w:p w14:paraId="48E6914F" w14:textId="77777777" w:rsidR="00223BFE" w:rsidRDefault="00223BFE" w:rsidP="00271ED9">
      <w:pPr>
        <w:pStyle w:val="FERCparanumber"/>
      </w:pPr>
      <w:r>
        <w:t xml:space="preserve">While some of the comments in this proceeding argue that no double recovery results from granting an income tax </w:t>
      </w:r>
      <w:r w:rsidRPr="00271ED9">
        <w:t>allowance</w:t>
      </w:r>
      <w:r>
        <w:t xml:space="preserve"> to an MLP, none of these arguments are persuasive.  As the Commission explains in the Remand Order, a double recovery results from granting an MLP an income tax allowance and a DCF ROE:</w:t>
      </w:r>
    </w:p>
    <w:p w14:paraId="50614E07" w14:textId="77777777" w:rsidR="00223BFE" w:rsidRDefault="00223BFE" w:rsidP="00223BFE">
      <w:pPr>
        <w:pStyle w:val="FERCparanumber"/>
        <w:numPr>
          <w:ilvl w:val="0"/>
          <w:numId w:val="45"/>
        </w:numPr>
        <w:spacing w:after="240" w:line="240" w:lineRule="auto"/>
      </w:pPr>
      <w:r>
        <w:t>MLPs</w:t>
      </w:r>
      <w:r w:rsidRPr="001C045F">
        <w:t xml:space="preserve"> and similar pass-through entities do not incur income taxes at the entity level.</w:t>
      </w:r>
      <w:r w:rsidRPr="001C045F">
        <w:rPr>
          <w:rStyle w:val="FootnoteReference"/>
        </w:rPr>
        <w:footnoteReference w:id="16"/>
      </w:r>
      <w:r w:rsidRPr="001C045F">
        <w:t xml:space="preserve">  Instead, the</w:t>
      </w:r>
      <w:r>
        <w:t xml:space="preserve"> partners are individually responsible for paying taxes on their allocated share of the partnership’s taxable income.</w:t>
      </w:r>
      <w:r>
        <w:rPr>
          <w:rStyle w:val="FootnoteReference"/>
        </w:rPr>
        <w:footnoteReference w:id="17"/>
      </w:r>
      <w:r>
        <w:t xml:space="preserve"> </w:t>
      </w:r>
    </w:p>
    <w:p w14:paraId="3FFB4393" w14:textId="77777777" w:rsidR="00223BFE" w:rsidRDefault="00223BFE" w:rsidP="00223BFE">
      <w:pPr>
        <w:pStyle w:val="FERCparanumber"/>
        <w:numPr>
          <w:ilvl w:val="0"/>
          <w:numId w:val="45"/>
        </w:numPr>
        <w:spacing w:after="240" w:line="240" w:lineRule="auto"/>
      </w:pPr>
      <w:r>
        <w:lastRenderedPageBreak/>
        <w:t>The DCF methodology estimates the returns a regulated entity must provide to investors in order to attract capital.</w:t>
      </w:r>
      <w:r w:rsidRPr="00453709">
        <w:rPr>
          <w:rStyle w:val="FootnoteReference"/>
          <w:bCs/>
        </w:rPr>
        <w:footnoteReference w:id="18"/>
      </w:r>
    </w:p>
    <w:p w14:paraId="255C40DC" w14:textId="77777777" w:rsidR="00223BFE" w:rsidRPr="004A712A" w:rsidRDefault="00223BFE" w:rsidP="00223BFE">
      <w:pPr>
        <w:pStyle w:val="FERCparanumber"/>
        <w:numPr>
          <w:ilvl w:val="0"/>
          <w:numId w:val="45"/>
        </w:numPr>
        <w:spacing w:after="240" w:line="240" w:lineRule="auto"/>
      </w:pPr>
      <w:r>
        <w:t>T</w:t>
      </w:r>
      <w:r w:rsidRPr="7E37EB9C">
        <w:t xml:space="preserve">o attract capital, entities in the market must provide investors a </w:t>
      </w:r>
      <w:r>
        <w:t xml:space="preserve">pre-tax </w:t>
      </w:r>
      <w:r w:rsidRPr="7E37EB9C">
        <w:t>return</w:t>
      </w:r>
      <w:r>
        <w:t>, i.e., a return</w:t>
      </w:r>
      <w:r w:rsidRPr="7E37EB9C">
        <w:t xml:space="preserve"> that covers investor-level taxes </w:t>
      </w:r>
      <w:r w:rsidRPr="00F9650B">
        <w:rPr>
          <w:iCs/>
        </w:rPr>
        <w:t>and</w:t>
      </w:r>
      <w:r w:rsidRPr="7E37EB9C">
        <w:t xml:space="preserve"> leaves sufficient remaining income to earn </w:t>
      </w:r>
      <w:r>
        <w:t>investors’</w:t>
      </w:r>
      <w:r w:rsidRPr="30CE678A">
        <w:t xml:space="preserve"> </w:t>
      </w:r>
      <w:r w:rsidRPr="7E37EB9C">
        <w:t>required after-tax return.</w:t>
      </w:r>
      <w:r w:rsidRPr="00453709">
        <w:rPr>
          <w:rStyle w:val="FootnoteReference"/>
          <w:bCs/>
        </w:rPr>
        <w:footnoteReference w:id="19"/>
      </w:r>
      <w:r>
        <w:t xml:space="preserve">  </w:t>
      </w:r>
      <w:r w:rsidRPr="009F6E3E">
        <w:rPr>
          <w:bCs/>
        </w:rPr>
        <w:t xml:space="preserve">In other words, because investors must pay taxes from any earnings received from the partnership, the DCF return must be sufficient both to cover the investor’s tax costs and to provide the investor a sufficient after-tax ROE. </w:t>
      </w:r>
      <w:r>
        <w:rPr>
          <w:bCs/>
        </w:rPr>
        <w:t xml:space="preserve"> </w:t>
      </w:r>
      <w:r w:rsidRPr="00504F10">
        <w:rPr>
          <w:b/>
          <w:bCs/>
        </w:rPr>
        <w:t xml:space="preserve">   </w:t>
      </w:r>
      <w:r w:rsidRPr="30CE678A">
        <w:t xml:space="preserve">  </w:t>
      </w:r>
    </w:p>
    <w:p w14:paraId="5F310552" w14:textId="77777777" w:rsidR="00223BFE" w:rsidRDefault="00223BFE" w:rsidP="00223BFE">
      <w:pPr>
        <w:pStyle w:val="FERCparanumber"/>
        <w:numPr>
          <w:ilvl w:val="0"/>
          <w:numId w:val="45"/>
        </w:numPr>
        <w:spacing w:after="240" w:line="240" w:lineRule="auto"/>
      </w:pPr>
      <w:r w:rsidRPr="004A712A">
        <w:t>T</w:t>
      </w:r>
      <w:r w:rsidRPr="004A712A" w:rsidDel="00481B52">
        <w:t xml:space="preserve">he DCF methodology “determines the </w:t>
      </w:r>
      <w:r w:rsidRPr="004A712A" w:rsidDel="00481B52">
        <w:rPr>
          <w:i/>
          <w:iCs/>
        </w:rPr>
        <w:t>pre-tax</w:t>
      </w:r>
      <w:r w:rsidRPr="004A712A" w:rsidDel="00481B52">
        <w:t xml:space="preserve"> investor return required to attract investment.”</w:t>
      </w:r>
      <w:r w:rsidRPr="004A712A" w:rsidDel="00481B52">
        <w:rPr>
          <w:rStyle w:val="FootnoteReference"/>
          <w:bCs/>
        </w:rPr>
        <w:footnoteReference w:id="20"/>
      </w:r>
      <w:r w:rsidRPr="004A712A">
        <w:t xml:space="preserve">  </w:t>
      </w:r>
    </w:p>
    <w:p w14:paraId="76A60CFA" w14:textId="77777777" w:rsidR="00223BFE" w:rsidRDefault="00223BFE" w:rsidP="00223BFE">
      <w:pPr>
        <w:pStyle w:val="FERCparanumber"/>
        <w:numPr>
          <w:ilvl w:val="0"/>
          <w:numId w:val="0"/>
        </w:numPr>
      </w:pPr>
      <w:r w:rsidRPr="004A712A">
        <w:t xml:space="preserve">Given that the DCF return is a “pre-tax return,” permitting </w:t>
      </w:r>
      <w:r>
        <w:t xml:space="preserve">an MLP </w:t>
      </w:r>
      <w:r w:rsidRPr="004A712A">
        <w:t>to recover both an income tax allowance and a DCF ROE lead</w:t>
      </w:r>
      <w:r>
        <w:t>s</w:t>
      </w:r>
      <w:r w:rsidRPr="004A712A">
        <w:t xml:space="preserve"> to a double recovery of </w:t>
      </w:r>
      <w:r>
        <w:t>the MLP’s</w:t>
      </w:r>
      <w:r w:rsidRPr="004A712A">
        <w:t xml:space="preserve"> income tax costs.</w:t>
      </w:r>
      <w:r w:rsidRPr="004A712A">
        <w:rPr>
          <w:rStyle w:val="FootnoteReference"/>
        </w:rPr>
        <w:footnoteReference w:id="21"/>
      </w:r>
      <w:r w:rsidRPr="004A712A">
        <w:t xml:space="preserve">    </w:t>
      </w:r>
    </w:p>
    <w:p w14:paraId="5B4CCC21" w14:textId="4B1AB6BC" w:rsidR="00223BFE" w:rsidRPr="00954012" w:rsidRDefault="00223BFE" w:rsidP="00271ED9">
      <w:pPr>
        <w:pStyle w:val="FERCparanumber"/>
      </w:pPr>
      <w:r>
        <w:t xml:space="preserve">This </w:t>
      </w:r>
      <w:r w:rsidR="006C2516">
        <w:t xml:space="preserve">Revised </w:t>
      </w:r>
      <w:r>
        <w:t xml:space="preserve">Policy Statement addresses comments responding to the NOI asserting that </w:t>
      </w:r>
      <w:r w:rsidRPr="00954012">
        <w:t xml:space="preserve">(a) </w:t>
      </w:r>
      <w:r>
        <w:t xml:space="preserve">granting an MLP an income tax </w:t>
      </w:r>
      <w:r w:rsidRPr="00271ED9">
        <w:t>allowance</w:t>
      </w:r>
      <w:r>
        <w:t xml:space="preserve"> does not cause a </w:t>
      </w:r>
      <w:r w:rsidRPr="00954012">
        <w:t xml:space="preserve">double recovery or </w:t>
      </w:r>
      <w:r w:rsidR="00E85678">
        <w:br/>
      </w:r>
      <w:r w:rsidRPr="00954012">
        <w:t xml:space="preserve">(b) notwithstanding </w:t>
      </w:r>
      <w:r>
        <w:t xml:space="preserve">the existence of </w:t>
      </w:r>
      <w:r w:rsidRPr="00954012">
        <w:t xml:space="preserve">a double recovery, </w:t>
      </w:r>
      <w:r>
        <w:t xml:space="preserve">MLPs should continue to receive </w:t>
      </w:r>
      <w:r w:rsidR="00E85678">
        <w:br/>
      </w:r>
      <w:r>
        <w:t>an income tax allowance</w:t>
      </w:r>
      <w:r w:rsidRPr="00954012">
        <w:t>.</w:t>
      </w:r>
      <w:r>
        <w:t xml:space="preserve">  As discussed below,</w:t>
      </w:r>
      <w:r w:rsidRPr="00954012">
        <w:t xml:space="preserve"> </w:t>
      </w:r>
      <w:r>
        <w:t xml:space="preserve">these </w:t>
      </w:r>
      <w:r w:rsidRPr="00954012">
        <w:t xml:space="preserve">arguments are </w:t>
      </w:r>
      <w:r>
        <w:t>unavailing.</w:t>
      </w:r>
    </w:p>
    <w:p w14:paraId="2C3FEAD3" w14:textId="77777777" w:rsidR="00223BFE" w:rsidRPr="00C4694C" w:rsidRDefault="00223BFE" w:rsidP="00223BFE">
      <w:pPr>
        <w:pStyle w:val="Heading4"/>
      </w:pPr>
      <w:r w:rsidRPr="00C4694C">
        <w:t>A double recovery results from granting an MLP both an income tax allowance and a DCF ROE</w:t>
      </w:r>
    </w:p>
    <w:p w14:paraId="2B207C84" w14:textId="5AE1287B" w:rsidR="00223BFE" w:rsidRDefault="00223BFE" w:rsidP="00271ED9">
      <w:pPr>
        <w:pStyle w:val="FERCparanumber"/>
      </w:pPr>
      <w:r>
        <w:t>The Commission rejects arguments from pipelines and pipeline groups that no double recovery results from granting an MLP both an income tax allowance and a DCF ROE.  These include claims that</w:t>
      </w:r>
      <w:r w:rsidRPr="00DA4FE8">
        <w:t xml:space="preserve"> (a) </w:t>
      </w:r>
      <w:r w:rsidRPr="00271ED9">
        <w:t>changes</w:t>
      </w:r>
      <w:r w:rsidRPr="00DA4FE8">
        <w:t xml:space="preserve"> to the stock price eliminate the double</w:t>
      </w:r>
      <w:r>
        <w:t xml:space="preserve"> </w:t>
      </w:r>
      <w:r w:rsidRPr="00DA4FE8">
        <w:t xml:space="preserve">recovery, </w:t>
      </w:r>
      <w:r w:rsidR="00E85678">
        <w:br/>
      </w:r>
      <w:r w:rsidRPr="00DA4FE8">
        <w:t>(b)</w:t>
      </w:r>
      <w:r>
        <w:t xml:space="preserve"> </w:t>
      </w:r>
      <w:r w:rsidRPr="00DA4FE8">
        <w:t>MLP partners’ taxes are “first tier” taxes</w:t>
      </w:r>
      <w:r>
        <w:t xml:space="preserve"> that should be recoverable in an income tax allowance</w:t>
      </w:r>
      <w:r w:rsidRPr="00DA4FE8">
        <w:t xml:space="preserve">, (c) the </w:t>
      </w:r>
      <w:r>
        <w:t xml:space="preserve">return produced by the </w:t>
      </w:r>
      <w:r w:rsidRPr="00DA4FE8">
        <w:t xml:space="preserve">DCF </w:t>
      </w:r>
      <w:r>
        <w:t>analysis</w:t>
      </w:r>
      <w:r w:rsidRPr="00DA4FE8">
        <w:t xml:space="preserve"> is never grossed-up </w:t>
      </w:r>
      <w:r>
        <w:t xml:space="preserve">(or adjusted) </w:t>
      </w:r>
      <w:r w:rsidRPr="00DA4FE8">
        <w:t xml:space="preserve">to include </w:t>
      </w:r>
      <w:r>
        <w:t xml:space="preserve">MLP </w:t>
      </w:r>
      <w:r w:rsidRPr="00DA4FE8">
        <w:t>partner</w:t>
      </w:r>
      <w:r>
        <w:t>s’</w:t>
      </w:r>
      <w:r w:rsidRPr="00DA4FE8">
        <w:t xml:space="preserve"> tax costs, (d) the presence of an income tax allowance </w:t>
      </w:r>
      <w:r w:rsidRPr="00DA4FE8">
        <w:lastRenderedPageBreak/>
        <w:t xml:space="preserve">causes </w:t>
      </w:r>
      <w:r>
        <w:t xml:space="preserve">MLP </w:t>
      </w:r>
      <w:r w:rsidRPr="00DA4FE8">
        <w:t xml:space="preserve">investors to demand a lower return in the market place, (e) </w:t>
      </w:r>
      <w:r>
        <w:t xml:space="preserve">a life-cycle </w:t>
      </w:r>
      <w:r w:rsidRPr="00DA4FE8">
        <w:t>hy</w:t>
      </w:r>
      <w:r>
        <w:t xml:space="preserve">pothetical </w:t>
      </w:r>
      <w:r w:rsidRPr="00DA4FE8">
        <w:t>show</w:t>
      </w:r>
      <w:r>
        <w:t>s</w:t>
      </w:r>
      <w:r w:rsidRPr="00DA4FE8">
        <w:t xml:space="preserve"> that corporate and MLP tax costs</w:t>
      </w:r>
      <w:r>
        <w:t xml:space="preserve"> and after-tax returns</w:t>
      </w:r>
      <w:r w:rsidRPr="00DA4FE8">
        <w:t xml:space="preserve"> </w:t>
      </w:r>
      <w:r>
        <w:t>are</w:t>
      </w:r>
      <w:r w:rsidRPr="00DA4FE8">
        <w:t xml:space="preserve"> similar</w:t>
      </w:r>
      <w:r>
        <w:t xml:space="preserve"> when an income tax allowance is present</w:t>
      </w:r>
      <w:r w:rsidRPr="00DA4FE8">
        <w:t>,</w:t>
      </w:r>
      <w:r>
        <w:t xml:space="preserve"> (f) the calculation of the growth rate in the DCF Formula for MLPs addresses the double-recovery issue, </w:t>
      </w:r>
      <w:r w:rsidRPr="00DA4FE8">
        <w:t>and (</w:t>
      </w:r>
      <w:r>
        <w:t>g</w:t>
      </w:r>
      <w:r w:rsidRPr="00DA4FE8">
        <w:t>) various empirical studies refute</w:t>
      </w:r>
      <w:r>
        <w:t xml:space="preserve"> the double-recovery finding in</w:t>
      </w:r>
      <w:r w:rsidRPr="00DA4FE8">
        <w:t xml:space="preserve"> </w:t>
      </w:r>
      <w:r w:rsidRPr="00E42924">
        <w:rPr>
          <w:i/>
        </w:rPr>
        <w:t>United Airlines</w:t>
      </w:r>
      <w:r w:rsidRPr="00DA4FE8">
        <w:t>.</w:t>
      </w:r>
      <w:r>
        <w:t xml:space="preserve">  As discussed below none of these arguments resolves the double-recovery concern, and accordingly, the Commission will no longer permit </w:t>
      </w:r>
      <w:bookmarkStart w:id="1" w:name="_GoBack"/>
      <w:bookmarkEnd w:id="1"/>
      <w:r>
        <w:t>MLPs to recover an income tax allowance in cost-of-service rates.</w:t>
      </w:r>
    </w:p>
    <w:p w14:paraId="1855A1F5" w14:textId="77777777" w:rsidR="00223BFE" w:rsidRPr="00DA4FE8" w:rsidRDefault="00223BFE" w:rsidP="00223BFE">
      <w:pPr>
        <w:pStyle w:val="Heading5"/>
      </w:pPr>
      <w:r>
        <w:t>Changes to a Pipeline’s</w:t>
      </w:r>
      <w:r w:rsidRPr="00DA4FE8">
        <w:t xml:space="preserve"> </w:t>
      </w:r>
      <w:r>
        <w:t>Unit</w:t>
      </w:r>
      <w:r w:rsidRPr="00DA4FE8">
        <w:t xml:space="preserve"> Price </w:t>
      </w:r>
      <w:r>
        <w:t>Do Not Resolve the Double-Recovery Issue</w:t>
      </w:r>
    </w:p>
    <w:p w14:paraId="2832EADA" w14:textId="77777777" w:rsidR="00223BFE" w:rsidRPr="00C4694C" w:rsidRDefault="00223BFE" w:rsidP="00271ED9">
      <w:pPr>
        <w:pStyle w:val="FERCparanumber"/>
      </w:pPr>
      <w:r>
        <w:t xml:space="preserve">Some commenters argue </w:t>
      </w:r>
      <w:r w:rsidRPr="00FE3FCD">
        <w:t>that there is no double recovery caused by an income tax allowance</w:t>
      </w:r>
      <w:r>
        <w:t xml:space="preserve"> for MLPs</w:t>
      </w:r>
      <w:r w:rsidRPr="00FE3FCD">
        <w:t xml:space="preserve"> because the income tax allowance</w:t>
      </w:r>
      <w:r>
        <w:t xml:space="preserve"> merely</w:t>
      </w:r>
      <w:r w:rsidRPr="00FE3FCD">
        <w:t xml:space="preserve"> increases the price of the MLP units.</w:t>
      </w:r>
      <w:r w:rsidRPr="00FE3FCD">
        <w:rPr>
          <w:rStyle w:val="FootnoteReference"/>
          <w:bCs/>
        </w:rPr>
        <w:footnoteReference w:id="22"/>
      </w:r>
      <w:r>
        <w:t xml:space="preserve">  These commenters assert that as a result of the increased unit price, investors will receive the same rate of return whether or not the pipeline receives an income tax allowance, and, thus, there is no double recovery.   </w:t>
      </w:r>
    </w:p>
    <w:p w14:paraId="44688589" w14:textId="77777777" w:rsidR="00223BFE" w:rsidRDefault="00223BFE" w:rsidP="00271ED9">
      <w:pPr>
        <w:pStyle w:val="FERCparanumber"/>
      </w:pPr>
      <w:r>
        <w:t>The Commission rejects such arguments as inapposite.  As explained in the Remand Order, the double-recovery issue is separate from the post-rate case effects upon an MLP pipeline’s unit price.  An MLP pipeline’s DCF ROE is typically based upon a proxy group of other MLPs,</w:t>
      </w:r>
      <w:r>
        <w:rPr>
          <w:rStyle w:val="FootnoteReference"/>
        </w:rPr>
        <w:footnoteReference w:id="23"/>
      </w:r>
      <w:r>
        <w:t xml:space="preserve"> all of </w:t>
      </w:r>
      <w:r w:rsidRPr="009F6E3E">
        <w:t xml:space="preserve">which must </w:t>
      </w:r>
      <w:r w:rsidRPr="00271ED9">
        <w:t>provide</w:t>
      </w:r>
      <w:r w:rsidRPr="009F6E3E">
        <w:t xml:space="preserve"> investors with sufficient pre-</w:t>
      </w:r>
      <w:r>
        <w:t xml:space="preserve">investor </w:t>
      </w:r>
      <w:r w:rsidRPr="009F6E3E">
        <w:t xml:space="preserve">tax returns to attract capital.  Permitting </w:t>
      </w:r>
      <w:r>
        <w:t>an MLP pipeline</w:t>
      </w:r>
      <w:r w:rsidRPr="009F6E3E">
        <w:t xml:space="preserve"> to recover both the DCF pre-investor tax return and an income tax allowance for the investor-level tax costs leads to a double</w:t>
      </w:r>
      <w:r>
        <w:t xml:space="preserve"> </w:t>
      </w:r>
      <w:r w:rsidRPr="009F6E3E">
        <w:t>recovery.</w:t>
      </w:r>
      <w:r>
        <w:t xml:space="preserve">  </w:t>
      </w:r>
      <w:r w:rsidRPr="009F6E3E">
        <w:t>Whether or not the double</w:t>
      </w:r>
      <w:r>
        <w:t xml:space="preserve"> </w:t>
      </w:r>
      <w:r w:rsidRPr="009F6E3E">
        <w:t xml:space="preserve">recovery </w:t>
      </w:r>
      <w:r>
        <w:t>leads to an increased unit price, the impermissible double recovery in the MLP’s cost of service remains.</w:t>
      </w:r>
      <w:r w:rsidRPr="005053B0">
        <w:rPr>
          <w:rStyle w:val="FootnoteReference"/>
        </w:rPr>
        <w:footnoteReference w:id="24"/>
      </w:r>
      <w:r w:rsidRPr="005053B0">
        <w:t xml:space="preserve">    </w:t>
      </w:r>
      <w:r>
        <w:t xml:space="preserve">   </w:t>
      </w:r>
    </w:p>
    <w:p w14:paraId="78D7B886" w14:textId="77777777" w:rsidR="00223BFE" w:rsidRDefault="00223BFE" w:rsidP="00271ED9">
      <w:pPr>
        <w:pStyle w:val="FERCparanumber"/>
      </w:pPr>
      <w:r>
        <w:lastRenderedPageBreak/>
        <w:t>Moreover, while permitting such a double recovery may increase</w:t>
      </w:r>
      <w:r w:rsidRPr="00FE3FCD">
        <w:t xml:space="preserve"> the </w:t>
      </w:r>
      <w:r>
        <w:t>unit</w:t>
      </w:r>
      <w:r w:rsidRPr="00FE3FCD">
        <w:t xml:space="preserve"> price, these changes in the </w:t>
      </w:r>
      <w:r>
        <w:t>unit</w:t>
      </w:r>
      <w:r w:rsidRPr="00FE3FCD">
        <w:t xml:space="preserve"> price do not </w:t>
      </w:r>
      <w:r>
        <w:t>resolve the double-recovery problem or change the DCF return from a pre-investor tax return to an after-investor tax return</w:t>
      </w:r>
      <w:r w:rsidRPr="00FE3FCD">
        <w:t xml:space="preserve">.  </w:t>
      </w:r>
      <w:r>
        <w:t>Rather, i</w:t>
      </w:r>
      <w:r w:rsidRPr="00FE3FCD">
        <w:t xml:space="preserve">f an MLP </w:t>
      </w:r>
      <w:r>
        <w:t>p</w:t>
      </w:r>
      <w:r w:rsidRPr="00FE3FCD">
        <w:t xml:space="preserve">ipeline obtains a new revenue source that increases distributions to investors (such as an income tax allowance), the </w:t>
      </w:r>
      <w:r>
        <w:t>unit</w:t>
      </w:r>
      <w:r w:rsidRPr="00FE3FCD">
        <w:t xml:space="preserve"> price will rise until, once again, the investor receives the cash flow necessary to cover the investor</w:t>
      </w:r>
      <w:r>
        <w:t>’</w:t>
      </w:r>
      <w:r w:rsidRPr="00FE3FCD">
        <w:t>s income tax liabilities and to earn an after-tax return that is comparable to other investments of similar risk.</w:t>
      </w:r>
      <w:r w:rsidRPr="00FE3FCD">
        <w:rPr>
          <w:rStyle w:val="FootnoteReference"/>
          <w:bCs/>
        </w:rPr>
        <w:footnoteReference w:id="25"/>
      </w:r>
      <w:r>
        <w:t xml:space="preserve">  Likewise, if the MLP’s cash flows are reduced (such as via the removal of the income tax allowance) and consequently distributions decline, the MLP unit price will drop until the returns once again both cover an investor’s tax costs and provide the sufficient after-tax returns.</w:t>
      </w:r>
      <w:r w:rsidRPr="00FE3FCD">
        <w:t xml:space="preserve">  </w:t>
      </w:r>
      <w:r>
        <w:t>W</w:t>
      </w:r>
      <w:r w:rsidRPr="00FE3FCD">
        <w:t>hether or not a pipeline receives an income tax allowance</w:t>
      </w:r>
      <w:r>
        <w:t>, the MLP’s DCF return will always be a pre-investor tax return.</w:t>
      </w:r>
      <w:r>
        <w:rPr>
          <w:rStyle w:val="FootnoteReference"/>
        </w:rPr>
        <w:footnoteReference w:id="26"/>
      </w:r>
      <w:r>
        <w:t xml:space="preserve">  </w:t>
      </w:r>
    </w:p>
    <w:p w14:paraId="06CEF221" w14:textId="77777777" w:rsidR="00223BFE" w:rsidRPr="00FE3FCD" w:rsidRDefault="00223BFE" w:rsidP="00223BFE">
      <w:pPr>
        <w:pStyle w:val="Heading5"/>
      </w:pPr>
      <w:r>
        <w:lastRenderedPageBreak/>
        <w:t>The</w:t>
      </w:r>
      <w:r w:rsidRPr="00FE3FCD">
        <w:t xml:space="preserve"> Argument that MLP</w:t>
      </w:r>
      <w:r>
        <w:t>s</w:t>
      </w:r>
      <w:r w:rsidRPr="00FE3FCD">
        <w:t xml:space="preserve"> Are Entitled to Recover “First Tier” Taxes Is Irrelevant</w:t>
      </w:r>
    </w:p>
    <w:p w14:paraId="4C2BA2CC" w14:textId="77777777" w:rsidR="00223BFE" w:rsidRDefault="00223BFE" w:rsidP="00271ED9">
      <w:pPr>
        <w:pStyle w:val="FERCparanumber"/>
      </w:pPr>
      <w:r>
        <w:t xml:space="preserve">Some commenters contend </w:t>
      </w:r>
      <w:r w:rsidRPr="00FE3FCD">
        <w:t xml:space="preserve">that removing the income tax allowance is contrary to Commission and court </w:t>
      </w:r>
      <w:r w:rsidRPr="00271ED9">
        <w:t>findings</w:t>
      </w:r>
      <w:r w:rsidRPr="00FE3FCD">
        <w:t xml:space="preserve"> that MLP </w:t>
      </w:r>
      <w:r>
        <w:t>p</w:t>
      </w:r>
      <w:r w:rsidRPr="00FE3FCD">
        <w:t>ipelines may recover</w:t>
      </w:r>
      <w:r>
        <w:t xml:space="preserve"> so-called</w:t>
      </w:r>
      <w:r w:rsidRPr="00FE3FCD">
        <w:t xml:space="preserve"> “first</w:t>
      </w:r>
      <w:r>
        <w:t xml:space="preserve"> </w:t>
      </w:r>
      <w:r w:rsidRPr="00FE3FCD">
        <w:t>tier” taxes for income generated by the regulated pipeline.</w:t>
      </w:r>
      <w:r w:rsidRPr="00FE3FCD">
        <w:rPr>
          <w:rStyle w:val="FootnoteReference"/>
          <w:bCs/>
        </w:rPr>
        <w:footnoteReference w:id="27"/>
      </w:r>
      <w:r>
        <w:t xml:space="preserve">  The pipelines claim that because a partnership does not itself pay taxes, the taxes paid by the partners are the “first tier” tax, much like the corporate income tax is the “first tier” tax for the corporation.  </w:t>
      </w:r>
      <w:r w:rsidRPr="00FE3FCD">
        <w:t xml:space="preserve"> </w:t>
      </w:r>
      <w:r>
        <w:t xml:space="preserve">The pipelines contrast these “first tier” taxes with so-called “second tier” taxes (such as the dividend tax paid by corporate stockholders) which are not typically recovered by the income tax allowance. </w:t>
      </w:r>
      <w:r w:rsidRPr="00FE3FCD">
        <w:t xml:space="preserve"> </w:t>
      </w:r>
    </w:p>
    <w:p w14:paraId="41113889" w14:textId="3574F64E" w:rsidR="00223BFE" w:rsidRPr="00DA4FE8" w:rsidRDefault="00223BFE" w:rsidP="00271ED9">
      <w:pPr>
        <w:pStyle w:val="FERCparanumber"/>
      </w:pPr>
      <w:r>
        <w:t>The Commission is not persuaded by such</w:t>
      </w:r>
      <w:r w:rsidRPr="00FE3FCD">
        <w:t xml:space="preserve"> argument</w:t>
      </w:r>
      <w:r>
        <w:t>s</w:t>
      </w:r>
      <w:r w:rsidRPr="00FE3FCD">
        <w:t xml:space="preserve">, which </w:t>
      </w:r>
      <w:r>
        <w:t>were</w:t>
      </w:r>
      <w:r w:rsidRPr="00FE3FCD">
        <w:t xml:space="preserve"> already presented to the </w:t>
      </w:r>
      <w:r>
        <w:t>D.C. Circuit.</w:t>
      </w:r>
      <w:r w:rsidRPr="00FE3FCD">
        <w:rPr>
          <w:rStyle w:val="FootnoteReference"/>
          <w:bCs/>
        </w:rPr>
        <w:footnoteReference w:id="28"/>
      </w:r>
      <w:r>
        <w:t xml:space="preserve">  The pipelines’ </w:t>
      </w:r>
      <w:r w:rsidR="00160CD0">
        <w:t>argument</w:t>
      </w:r>
      <w:r w:rsidR="00F419AD">
        <w:t>s</w:t>
      </w:r>
      <w:r w:rsidR="00160CD0">
        <w:t xml:space="preserve"> do not address</w:t>
      </w:r>
      <w:r w:rsidRPr="00FE3FCD">
        <w:t xml:space="preserve"> the D.C. Circuit’s finding that the DCF ROE itself enables the recovery of an MLP’s “first tier” tax costs, rendering an income tax allowance unnecessary.  Whether or not a tax can be labeled a “first tier” tax is irrelevant to the double-recovery issue.  </w:t>
      </w:r>
      <w:r w:rsidRPr="00271ED9">
        <w:t>No</w:t>
      </w:r>
      <w:r w:rsidRPr="00FE3FCD">
        <w:t xml:space="preserve"> double recovery results when a </w:t>
      </w:r>
      <w:r>
        <w:t>corporate</w:t>
      </w:r>
      <w:r w:rsidRPr="00FE3FCD">
        <w:t xml:space="preserve"> </w:t>
      </w:r>
      <w:r>
        <w:t>p</w:t>
      </w:r>
      <w:r w:rsidRPr="00FE3FCD">
        <w:t xml:space="preserve">ipeline’s cost of service includes an income tax allowance because this so-called “first tier” corporate income tax is paid directly by the corporation, rather than by </w:t>
      </w:r>
      <w:r>
        <w:t>unit</w:t>
      </w:r>
      <w:r w:rsidRPr="00FE3FCD">
        <w:t>holders from the dividends used in the DCF methodology.</w:t>
      </w:r>
      <w:r w:rsidRPr="00FE3FCD">
        <w:rPr>
          <w:rStyle w:val="FootnoteReference"/>
          <w:bCs/>
        </w:rPr>
        <w:footnoteReference w:id="29"/>
      </w:r>
      <w:r w:rsidRPr="00FE3FCD">
        <w:t xml:space="preserve">  In contrast, the MLP itself pays no taxes.</w:t>
      </w:r>
      <w:r w:rsidRPr="00FE3FCD">
        <w:rPr>
          <w:rStyle w:val="FootnoteReference"/>
          <w:bCs/>
        </w:rPr>
        <w:footnoteReference w:id="30"/>
      </w:r>
      <w:r w:rsidRPr="00FE3FCD">
        <w:rPr>
          <w:b/>
          <w:bCs/>
        </w:rPr>
        <w:t xml:space="preserve"> </w:t>
      </w:r>
      <w:r w:rsidRPr="00FE3FCD">
        <w:t xml:space="preserve"> Because the “first tier” MLP income taxes are paid directly by the unitholders,</w:t>
      </w:r>
      <w:r>
        <w:rPr>
          <w:rStyle w:val="FootnoteReference"/>
        </w:rPr>
        <w:footnoteReference w:id="31"/>
      </w:r>
      <w:r w:rsidRPr="00FE3FCD">
        <w:t xml:space="preserve"> the </w:t>
      </w:r>
      <w:r>
        <w:t>D.C. Circuit</w:t>
      </w:r>
      <w:r w:rsidRPr="00FE3FCD">
        <w:rPr>
          <w:i/>
          <w:iCs/>
        </w:rPr>
        <w:t xml:space="preserve"> </w:t>
      </w:r>
      <w:r w:rsidRPr="00FE3FCD">
        <w:t xml:space="preserve">explained that the pre-investor tax DCF return must be sufficient to recover an MLP investor’s tax costs in order to attract capital.  While the </w:t>
      </w:r>
      <w:r>
        <w:t>D.C. Circuit</w:t>
      </w:r>
      <w:r w:rsidRPr="00FE3FCD">
        <w:t xml:space="preserve"> reaffirmed that an MLP </w:t>
      </w:r>
      <w:r>
        <w:t>p</w:t>
      </w:r>
      <w:r w:rsidRPr="00FE3FCD">
        <w:t xml:space="preserve">ipeline may recover such “first tier” </w:t>
      </w:r>
      <w:r w:rsidRPr="00FE3FCD">
        <w:lastRenderedPageBreak/>
        <w:t xml:space="preserve">investor income tax costs, </w:t>
      </w:r>
      <w:r>
        <w:t xml:space="preserve">the D.C. Circuit also held that </w:t>
      </w:r>
      <w:r w:rsidRPr="00FE3FCD">
        <w:t xml:space="preserve">an MLP </w:t>
      </w:r>
      <w:r>
        <w:t>p</w:t>
      </w:r>
      <w:r w:rsidRPr="00FE3FCD">
        <w:t xml:space="preserve">ipeline may not double recover those costs via </w:t>
      </w:r>
      <w:r>
        <w:t>both an</w:t>
      </w:r>
      <w:r w:rsidRPr="00FE3FCD">
        <w:t xml:space="preserve"> income tax allowance and the DCF return.</w:t>
      </w:r>
      <w:r w:rsidRPr="00FE3FCD">
        <w:rPr>
          <w:rStyle w:val="FootnoteReference"/>
          <w:bCs/>
        </w:rPr>
        <w:footnoteReference w:id="32"/>
      </w:r>
      <w:r w:rsidRPr="00FE3FCD">
        <w:rPr>
          <w:b/>
          <w:bCs/>
        </w:rPr>
        <w:t xml:space="preserve">  </w:t>
      </w:r>
      <w:r w:rsidRPr="00FE3FCD">
        <w:t xml:space="preserve">    </w:t>
      </w:r>
    </w:p>
    <w:p w14:paraId="4CB2C419" w14:textId="77777777" w:rsidR="00223BFE" w:rsidRPr="00FE3FCD" w:rsidRDefault="00223BFE" w:rsidP="00223BFE">
      <w:pPr>
        <w:pStyle w:val="Heading5"/>
      </w:pPr>
      <w:r>
        <w:t>The Argument that the Tax Allowance Reduces Investors’ Required Return Lacks Merit</w:t>
      </w:r>
    </w:p>
    <w:p w14:paraId="0119D53E" w14:textId="2A3B39A3" w:rsidR="00223BFE" w:rsidRDefault="00223BFE" w:rsidP="00271ED9">
      <w:pPr>
        <w:pStyle w:val="FERCparanumber"/>
      </w:pPr>
      <w:r>
        <w:t xml:space="preserve">SFPP argues </w:t>
      </w:r>
      <w:r w:rsidRPr="00FE3FCD">
        <w:t xml:space="preserve">that investors recognize that the income tax costs are recovered by the pipeline through the income tax allowance and therefore, elect not to demand a </w:t>
      </w:r>
      <w:r>
        <w:t xml:space="preserve">DCF return </w:t>
      </w:r>
      <w:r w:rsidRPr="00FE3FCD">
        <w:t xml:space="preserve">on their investment </w:t>
      </w:r>
      <w:r>
        <w:t>that would</w:t>
      </w:r>
      <w:r w:rsidRPr="00FE3FCD">
        <w:t xml:space="preserve"> cover those income tax costs.</w:t>
      </w:r>
      <w:r w:rsidRPr="00FE3FCD">
        <w:rPr>
          <w:rStyle w:val="FootnoteReference"/>
          <w:bCs/>
        </w:rPr>
        <w:footnoteReference w:id="33"/>
      </w:r>
      <w:r>
        <w:t xml:space="preserve">  Because under this theory the DCF return would not include investor tax costs, SFPP argues th</w:t>
      </w:r>
      <w:r w:rsidR="008F661B">
        <w:t>at there is no double recovery.</w:t>
      </w:r>
      <w:r>
        <w:t xml:space="preserve">  In essence, SFPP contends that the pre-tax return produced by a DCF analysis of an MLP with a tax allowance is the equivalent of an after-tax return, since investors do not demand a pre-tax return.  Similarly, SFPP argues that if MLPs lose the income tax allowance, then the MLP investors will demand a higher pre-tax return than under present policy.</w:t>
      </w:r>
    </w:p>
    <w:p w14:paraId="57165D0D" w14:textId="77777777" w:rsidR="00223BFE" w:rsidRDefault="00223BFE" w:rsidP="00271ED9">
      <w:pPr>
        <w:pStyle w:val="FERCparanumber"/>
      </w:pPr>
      <w:r>
        <w:t xml:space="preserve">The Commission rejects SFPP’s assertions.  </w:t>
      </w:r>
      <w:r w:rsidRPr="00FE3FCD">
        <w:t>Th</w:t>
      </w:r>
      <w:r>
        <w:t>ese</w:t>
      </w:r>
      <w:r w:rsidRPr="00FE3FCD">
        <w:t xml:space="preserve"> argument</w:t>
      </w:r>
      <w:r>
        <w:t>s distort how the income tax allowance affects investor tax liability</w:t>
      </w:r>
      <w:r w:rsidRPr="00FE3FCD">
        <w:t>.</w:t>
      </w:r>
      <w:r>
        <w:t xml:space="preserve">  </w:t>
      </w:r>
      <w:r w:rsidRPr="00FE3FCD">
        <w:t xml:space="preserve">MLP investors owe a tax on any increased </w:t>
      </w:r>
      <w:r>
        <w:t>income</w:t>
      </w:r>
      <w:r w:rsidRPr="00FE3FCD">
        <w:t>, whether or not th</w:t>
      </w:r>
      <w:r>
        <w:t>at income</w:t>
      </w:r>
      <w:r w:rsidRPr="00FE3FCD">
        <w:t xml:space="preserve"> result</w:t>
      </w:r>
      <w:r>
        <w:t>s</w:t>
      </w:r>
      <w:r w:rsidRPr="00FE3FCD">
        <w:t xml:space="preserve"> from an income tax allowance</w:t>
      </w:r>
      <w:r>
        <w:t xml:space="preserve"> or another source</w:t>
      </w:r>
      <w:r w:rsidRPr="00FE3FCD">
        <w:t>.</w:t>
      </w:r>
      <w:r>
        <w:rPr>
          <w:rStyle w:val="FootnoteReference"/>
        </w:rPr>
        <w:footnoteReference w:id="34"/>
      </w:r>
      <w:r>
        <w:t xml:space="preserve">  </w:t>
      </w:r>
      <w:r w:rsidRPr="00FE3FCD">
        <w:t xml:space="preserve">Accordingly, while as discussed above an MLP </w:t>
      </w:r>
      <w:r>
        <w:t xml:space="preserve">income </w:t>
      </w:r>
      <w:r w:rsidRPr="00FE3FCD">
        <w:t xml:space="preserve">tax allowance may increase the </w:t>
      </w:r>
      <w:r>
        <w:t>unit</w:t>
      </w:r>
      <w:r w:rsidRPr="00FE3FCD">
        <w:t xml:space="preserve"> price, investors will continue to demand a pre-tax return even when a portion of a pipeline’s rate is attributable to </w:t>
      </w:r>
      <w:r>
        <w:t>an</w:t>
      </w:r>
      <w:r w:rsidRPr="00FE3FCD">
        <w:t xml:space="preserve"> “income tax allowance.”</w:t>
      </w:r>
      <w:r w:rsidRPr="00093E4B">
        <w:rPr>
          <w:rStyle w:val="FootnoteReference"/>
          <w:bCs/>
        </w:rPr>
        <w:t xml:space="preserve"> </w:t>
      </w:r>
      <w:r w:rsidRPr="00FE3FCD">
        <w:rPr>
          <w:rStyle w:val="FootnoteReference"/>
          <w:bCs/>
        </w:rPr>
        <w:footnoteReference w:id="35"/>
      </w:r>
      <w:r>
        <w:rPr>
          <w:rStyle w:val="FootnoteReference"/>
          <w:bCs/>
        </w:rPr>
        <w:t xml:space="preserve"> </w:t>
      </w:r>
      <w:r>
        <w:rPr>
          <w:bCs/>
        </w:rPr>
        <w:t xml:space="preserve"> </w:t>
      </w:r>
      <w:r>
        <w:t xml:space="preserve">Notwithstanding the presence of an income tax allowance, the pre-investor tax ROE produced by the DCF analysis does not equal the </w:t>
      </w:r>
      <w:r>
        <w:lastRenderedPageBreak/>
        <w:t xml:space="preserve">investor’s after-tax return.  Likewise, if an MLP pipeline’s loss of its income tax allowance reduces rates and investor income, the unit price will decline until the investor once again earns an adequate pre-tax return.   </w:t>
      </w:r>
    </w:p>
    <w:p w14:paraId="0FFC980A" w14:textId="01BDCDEA" w:rsidR="00223BFE" w:rsidRDefault="00223BFE" w:rsidP="00271ED9">
      <w:pPr>
        <w:pStyle w:val="FERCparanumber"/>
      </w:pPr>
      <w:r>
        <w:t>SFPP’s comments rely almost exclusively upon the incorrect assumption that for an MLP with an income tax allowance, an MLP investor’s pre-tax return equals its after-tax return.</w:t>
      </w:r>
      <w:r>
        <w:rPr>
          <w:rStyle w:val="FootnoteReference"/>
        </w:rPr>
        <w:footnoteReference w:id="36"/>
      </w:r>
      <w:r>
        <w:t xml:space="preserve">  </w:t>
      </w:r>
      <w:r w:rsidR="00C37018">
        <w:t>However</w:t>
      </w:r>
      <w:r>
        <w:t xml:space="preserve">, while SFPP relies heavily upon this assumption in this proceeding, SFPP elsewhere takes the opposite position – presenting hypotheticals </w:t>
      </w:r>
      <w:r w:rsidRPr="00271ED9">
        <w:t>showing</w:t>
      </w:r>
      <w:r>
        <w:t xml:space="preserve"> that an investor will demand a pre-tax return whether or not the pipeline receives an income tax allowance.</w:t>
      </w:r>
      <w:r>
        <w:rPr>
          <w:rStyle w:val="FootnoteReference"/>
        </w:rPr>
        <w:footnoteReference w:id="37"/>
      </w:r>
      <w:r>
        <w:t xml:space="preserve">       </w:t>
      </w:r>
    </w:p>
    <w:p w14:paraId="68616E2E" w14:textId="77777777" w:rsidR="00223BFE" w:rsidRPr="00FE3FCD" w:rsidRDefault="00223BFE" w:rsidP="00223BFE">
      <w:pPr>
        <w:pStyle w:val="Heading5"/>
      </w:pPr>
      <w:r w:rsidRPr="00FE3FCD">
        <w:t>The</w:t>
      </w:r>
      <w:r>
        <w:t xml:space="preserve"> Cost-Of-Service </w:t>
      </w:r>
      <w:r w:rsidRPr="00FE3FCD">
        <w:t>Gross-Up Theory Was Rejected by the D.C. Circuit</w:t>
      </w:r>
    </w:p>
    <w:p w14:paraId="7CCCBD8A" w14:textId="01BFE971" w:rsidR="00223BFE" w:rsidRPr="004E16FD" w:rsidRDefault="00223BFE" w:rsidP="00271ED9">
      <w:pPr>
        <w:pStyle w:val="FERCparanumber"/>
      </w:pPr>
      <w:r>
        <w:t xml:space="preserve">Some pipeline commenters also attempt to </w:t>
      </w:r>
      <w:r w:rsidRPr="00FE3FCD">
        <w:t>reframe the</w:t>
      </w:r>
      <w:r>
        <w:t xml:space="preserve"> cost-of-service</w:t>
      </w:r>
      <w:r w:rsidRPr="00FE3FCD">
        <w:t xml:space="preserve"> “gross-up” theory rejected by the D.C. </w:t>
      </w:r>
      <w:r w:rsidRPr="00271ED9">
        <w:t>Circuit</w:t>
      </w:r>
      <w:r w:rsidRPr="00FE3FCD">
        <w:t xml:space="preserve">.  This argument, which the Commission also made on appeal in the </w:t>
      </w:r>
      <w:r w:rsidRPr="00FE3FCD">
        <w:rPr>
          <w:i/>
          <w:iCs/>
        </w:rPr>
        <w:t xml:space="preserve">United Airlines </w:t>
      </w:r>
      <w:r w:rsidRPr="00FE3FCD">
        <w:t>proceeding, asserts that the DCF return does not in</w:t>
      </w:r>
      <w:r w:rsidRPr="00FE3FCD">
        <w:lastRenderedPageBreak/>
        <w:t xml:space="preserve">clude investor tax costs because the Commission never </w:t>
      </w:r>
      <w:r>
        <w:t>adjusts, or “</w:t>
      </w:r>
      <w:r w:rsidRPr="00FE3FCD">
        <w:t>grosses-up</w:t>
      </w:r>
      <w:r>
        <w:t>,”</w:t>
      </w:r>
      <w:r w:rsidRPr="00FE3FCD">
        <w:t xml:space="preserve"> the </w:t>
      </w:r>
      <w:r>
        <w:t xml:space="preserve">return produced by the </w:t>
      </w:r>
      <w:r w:rsidRPr="00FE3FCD">
        <w:t xml:space="preserve">DCF </w:t>
      </w:r>
      <w:r>
        <w:t>analysis</w:t>
      </w:r>
      <w:r w:rsidRPr="00FE3FCD">
        <w:t xml:space="preserve"> to recover such tax costs.</w:t>
      </w:r>
      <w:r w:rsidRPr="00FE3FCD">
        <w:rPr>
          <w:rStyle w:val="FootnoteReference"/>
          <w:bCs/>
        </w:rPr>
        <w:footnoteReference w:id="38"/>
      </w:r>
      <w:r w:rsidRPr="00FE3FCD">
        <w:rPr>
          <w:b/>
          <w:bCs/>
        </w:rPr>
        <w:t xml:space="preserve"> </w:t>
      </w:r>
      <w:r w:rsidRPr="00FE3FCD">
        <w:t xml:space="preserve"> </w:t>
      </w:r>
      <w:r w:rsidR="00C37018">
        <w:t>In response to the NOI</w:t>
      </w:r>
      <w:r w:rsidRPr="00FE3FCD">
        <w:t xml:space="preserve">, </w:t>
      </w:r>
      <w:r>
        <w:t>p</w:t>
      </w:r>
      <w:r w:rsidRPr="00FE3FCD">
        <w:t xml:space="preserve">ipeline </w:t>
      </w:r>
      <w:r>
        <w:t>c</w:t>
      </w:r>
      <w:r w:rsidRPr="00FE3FCD">
        <w:t>ommenters assert that the DCF ROE cannot include an MLP investor’s income tax costs because the income tax costs are not a separate line item in the DCF methodology.</w:t>
      </w:r>
      <w:r w:rsidRPr="00FE3FCD">
        <w:rPr>
          <w:rStyle w:val="FootnoteReference"/>
          <w:bCs/>
        </w:rPr>
        <w:footnoteReference w:id="39"/>
      </w:r>
      <w:r w:rsidRPr="00FE3FCD">
        <w:rPr>
          <w:b/>
          <w:bCs/>
        </w:rPr>
        <w:t xml:space="preserve">  </w:t>
      </w:r>
    </w:p>
    <w:p w14:paraId="55904760" w14:textId="77777777" w:rsidR="00223BFE" w:rsidRPr="00FE3FCD" w:rsidRDefault="00223BFE" w:rsidP="00271ED9">
      <w:pPr>
        <w:pStyle w:val="FERCparanumber"/>
      </w:pPr>
      <w:r>
        <w:t>The Commission rejects this position.  T</w:t>
      </w:r>
      <w:r w:rsidRPr="00FE3FCD">
        <w:t xml:space="preserve">he Commission’s DCF methodology need not include a mathematical step to add income taxes.  For the reasons described above, “the [DCF ROE] determines the </w:t>
      </w:r>
      <w:r w:rsidRPr="00FE3FCD">
        <w:rPr>
          <w:i/>
          <w:iCs/>
        </w:rPr>
        <w:t>pre-tax</w:t>
      </w:r>
      <w:r w:rsidRPr="00FE3FCD">
        <w:t xml:space="preserve"> investor return”</w:t>
      </w:r>
      <w:r w:rsidRPr="00FE3FCD">
        <w:rPr>
          <w:rStyle w:val="FootnoteReference"/>
          <w:bCs/>
        </w:rPr>
        <w:footnoteReference w:id="40"/>
      </w:r>
      <w:r w:rsidRPr="00FE3FCD">
        <w:rPr>
          <w:b/>
          <w:bCs/>
        </w:rPr>
        <w:t xml:space="preserve"> </w:t>
      </w:r>
      <w:r w:rsidRPr="00FE3FCD">
        <w:t xml:space="preserve">that already reflects cash flow for both the (a) investor’s tax costs and (b) the investor’s post-tax return.   </w:t>
      </w:r>
    </w:p>
    <w:p w14:paraId="1B0F0B9D" w14:textId="77777777" w:rsidR="00223BFE" w:rsidRDefault="00223BFE" w:rsidP="00223BFE">
      <w:pPr>
        <w:pStyle w:val="Heading5"/>
      </w:pPr>
      <w:r>
        <w:t>The Life-Cycle Hypothetical Does Not Refute the D.C. Circuit’s Holding</w:t>
      </w:r>
    </w:p>
    <w:p w14:paraId="2B3D426E" w14:textId="77777777" w:rsidR="00223BFE" w:rsidRPr="00FE3FCD" w:rsidRDefault="00223BFE" w:rsidP="00271ED9">
      <w:pPr>
        <w:pStyle w:val="FERCparanumber"/>
      </w:pPr>
      <w:r w:rsidRPr="00FE3FCD">
        <w:t xml:space="preserve">INGAA witness Merle Erickson presents a life-cycle model that compares the total tax expenses of a hypothetical MLP to a hypothetical corporation.  Under the assumptions of the model, Erickson finds that </w:t>
      </w:r>
      <w:r w:rsidRPr="00271ED9">
        <w:t>MLPs’</w:t>
      </w:r>
      <w:r w:rsidRPr="00FE3FCD">
        <w:t xml:space="preserve"> and corporations’ aggregate tax burdens are comparable and that both earn similar returns if MLPs are permitted an income tax allowance.</w:t>
      </w:r>
      <w:r w:rsidRPr="00FE3FCD">
        <w:rPr>
          <w:rStyle w:val="FootnoteReference"/>
          <w:bCs/>
        </w:rPr>
        <w:footnoteReference w:id="41"/>
      </w:r>
      <w:r w:rsidRPr="00FE3FCD">
        <w:t xml:space="preserve">  Pipeline </w:t>
      </w:r>
      <w:r>
        <w:t>c</w:t>
      </w:r>
      <w:r w:rsidRPr="00FE3FCD">
        <w:t>ommenters claim that the model globally demonstrates that the Commission’s current income tax policy provides parity in the returns to partnerships and corporations.</w:t>
      </w:r>
      <w:r w:rsidRPr="00FE3FCD">
        <w:rPr>
          <w:rStyle w:val="FootnoteReference"/>
          <w:bCs/>
        </w:rPr>
        <w:footnoteReference w:id="42"/>
      </w:r>
      <w:r w:rsidRPr="00FE3FCD">
        <w:rPr>
          <w:b/>
          <w:bCs/>
        </w:rPr>
        <w:t xml:space="preserve">  </w:t>
      </w:r>
    </w:p>
    <w:p w14:paraId="682A38DF" w14:textId="463A4722" w:rsidR="00223BFE" w:rsidRPr="00FE3FCD" w:rsidRDefault="00A13749" w:rsidP="00271ED9">
      <w:pPr>
        <w:pStyle w:val="FERCparanumber"/>
      </w:pPr>
      <w:r>
        <w:t>We do not find this argument to be persuasive</w:t>
      </w:r>
      <w:r w:rsidR="00223BFE">
        <w:t xml:space="preserve">.  </w:t>
      </w:r>
      <w:r w:rsidR="00223BFE" w:rsidRPr="00FE3FCD">
        <w:t xml:space="preserve">Erickson’s life-cycle model does not undermine the fundamental premise of </w:t>
      </w:r>
      <w:r w:rsidR="00223BFE" w:rsidRPr="00FE3FCD">
        <w:rPr>
          <w:i/>
          <w:iCs/>
        </w:rPr>
        <w:t>United Airlines</w:t>
      </w:r>
      <w:r w:rsidR="00223BFE" w:rsidRPr="00FE3FCD">
        <w:t xml:space="preserve"> that an income tax allowance for MLP </w:t>
      </w:r>
      <w:r w:rsidR="00223BFE">
        <w:t>p</w:t>
      </w:r>
      <w:r w:rsidR="00223BFE" w:rsidRPr="00FE3FCD">
        <w:t xml:space="preserve">ipelines leads to a double recovery.  Whether or not the overall MLP and </w:t>
      </w:r>
      <w:r w:rsidR="00223BFE" w:rsidRPr="00FE3FCD">
        <w:lastRenderedPageBreak/>
        <w:t xml:space="preserve">corporate tax burdens are equivalent or different, if the investor tax costs are incorporated into the DCF returns, then the income tax allowance for MLP </w:t>
      </w:r>
      <w:r w:rsidR="00223BFE">
        <w:t>p</w:t>
      </w:r>
      <w:r w:rsidR="00223BFE" w:rsidRPr="00FE3FCD">
        <w:t>ipelines leads to a double recovery.</w:t>
      </w:r>
      <w:r w:rsidR="00223BFE" w:rsidRPr="00FE3FCD">
        <w:rPr>
          <w:rStyle w:val="FootnoteReference"/>
          <w:bCs/>
        </w:rPr>
        <w:footnoteReference w:id="43"/>
      </w:r>
      <w:r w:rsidR="00223BFE" w:rsidRPr="00FE3FCD">
        <w:rPr>
          <w:b/>
          <w:bCs/>
        </w:rPr>
        <w:t xml:space="preserve"> </w:t>
      </w:r>
    </w:p>
    <w:p w14:paraId="42F65615" w14:textId="77777777" w:rsidR="00C23C6F" w:rsidRDefault="00223BFE" w:rsidP="00271ED9">
      <w:pPr>
        <w:pStyle w:val="FERCparanumber"/>
      </w:pPr>
      <w:r w:rsidRPr="00FE3FCD">
        <w:t xml:space="preserve">In addition, Erickson’s model does not necessarily establish that overall MLP tax levels are actually comparable to </w:t>
      </w:r>
      <w:r w:rsidRPr="00271ED9">
        <w:t>corporate</w:t>
      </w:r>
      <w:r w:rsidRPr="00FE3FCD">
        <w:t xml:space="preserve"> tax levels or that an income tax allowance equalizes returns.  Like similar hypothetical models, the results of Erickson’s proposal rely upon</w:t>
      </w:r>
      <w:r w:rsidRPr="00FE3FCD" w:rsidDel="00842B83">
        <w:t xml:space="preserve"> </w:t>
      </w:r>
      <w:r w:rsidRPr="00FE3FCD">
        <w:t>subjective assumptions.</w:t>
      </w:r>
      <w:r w:rsidRPr="00FE3FCD">
        <w:rPr>
          <w:rStyle w:val="FootnoteReference"/>
          <w:bCs/>
        </w:rPr>
        <w:footnoteReference w:id="44"/>
      </w:r>
      <w:r w:rsidRPr="00FE3FCD">
        <w:t xml:space="preserve">  For example, as Thomas Horst explains, Erickson’s hypothetical would show that MLPs (with an income tax allowance) receive higher returns if </w:t>
      </w:r>
      <w:r>
        <w:t>Erickson</w:t>
      </w:r>
      <w:r w:rsidRPr="00FE3FCD">
        <w:t xml:space="preserve"> had accounted for (a) the time value of money</w:t>
      </w:r>
      <w:r w:rsidRPr="00FE3FCD">
        <w:rPr>
          <w:rStyle w:val="FootnoteReference"/>
          <w:bCs/>
        </w:rPr>
        <w:footnoteReference w:id="45"/>
      </w:r>
      <w:r w:rsidRPr="00FE3FCD">
        <w:rPr>
          <w:b/>
          <w:bCs/>
        </w:rPr>
        <w:t xml:space="preserve"> </w:t>
      </w:r>
      <w:r w:rsidRPr="00FE3FCD">
        <w:t>and (b) certain tax issues related</w:t>
      </w:r>
    </w:p>
    <w:p w14:paraId="6873F000" w14:textId="77777777" w:rsidR="00C23C6F" w:rsidRDefault="00C23C6F">
      <w:pPr>
        <w:widowControl/>
        <w:autoSpaceDE/>
        <w:autoSpaceDN/>
        <w:adjustRightInd/>
        <w:rPr>
          <w:szCs w:val="26"/>
        </w:rPr>
      </w:pPr>
      <w:r>
        <w:br w:type="page"/>
      </w:r>
    </w:p>
    <w:p w14:paraId="36D4A4B8" w14:textId="33A1C521" w:rsidR="00223BFE" w:rsidRDefault="00223BFE" w:rsidP="00C23C6F">
      <w:pPr>
        <w:pStyle w:val="FERCparanumber"/>
        <w:numPr>
          <w:ilvl w:val="0"/>
          <w:numId w:val="0"/>
        </w:numPr>
      </w:pPr>
      <w:r w:rsidRPr="00FE3FCD">
        <w:lastRenderedPageBreak/>
        <w:t>to the sale of MLP units.</w:t>
      </w:r>
      <w:r w:rsidRPr="00FE3FCD">
        <w:rPr>
          <w:rStyle w:val="FootnoteReference"/>
          <w:bCs/>
        </w:rPr>
        <w:footnoteReference w:id="46"/>
      </w:r>
      <w:r w:rsidRPr="00FE3FCD">
        <w:t xml:space="preserve">  The Brattle report presented by </w:t>
      </w:r>
      <w:r>
        <w:t>s</w:t>
      </w:r>
      <w:r w:rsidRPr="00FE3FCD">
        <w:t xml:space="preserve">hipper </w:t>
      </w:r>
      <w:r>
        <w:t>c</w:t>
      </w:r>
      <w:r w:rsidRPr="00FE3FCD">
        <w:t>ommenters similarly demonstrates how reasonable changes to Erickson’s assumptions change the model’s output.</w:t>
      </w:r>
      <w:r w:rsidRPr="00FE3FCD">
        <w:rPr>
          <w:rStyle w:val="FootnoteReference"/>
          <w:bCs/>
        </w:rPr>
        <w:footnoteReference w:id="47"/>
      </w:r>
      <w:r w:rsidRPr="00FE3FCD">
        <w:t xml:space="preserve">  Thus, Erickson’s hypothetical does not undermine the fundamental conclusion of </w:t>
      </w:r>
      <w:r w:rsidRPr="00FE3FCD">
        <w:rPr>
          <w:i/>
          <w:iCs/>
        </w:rPr>
        <w:t xml:space="preserve">United Airlines </w:t>
      </w:r>
      <w:r w:rsidRPr="00FE3FCD">
        <w:t xml:space="preserve">that allowing MLP </w:t>
      </w:r>
      <w:r>
        <w:t>p</w:t>
      </w:r>
      <w:r w:rsidRPr="00FE3FCD">
        <w:t xml:space="preserve">ipelines to include both an income tax allowance and a full DCF ROE in their cost of service leads to a double recovery.   </w:t>
      </w:r>
    </w:p>
    <w:p w14:paraId="16BFFB4A" w14:textId="77777777" w:rsidR="00223BFE" w:rsidRPr="00B64A24" w:rsidRDefault="00223BFE" w:rsidP="00223BFE">
      <w:pPr>
        <w:pStyle w:val="Heading5"/>
      </w:pPr>
      <w:r w:rsidRPr="00B64A24">
        <w:t>The Treatment of the Growth Rate in the DCF Does Not Resolve the Double Recovery Concern</w:t>
      </w:r>
    </w:p>
    <w:p w14:paraId="5E18148E" w14:textId="77777777" w:rsidR="00223BFE" w:rsidRPr="00396A42" w:rsidRDefault="00223BFE" w:rsidP="00271ED9">
      <w:pPr>
        <w:pStyle w:val="FERCparanumber"/>
      </w:pPr>
      <w:r>
        <w:t>Pipelines</w:t>
      </w:r>
      <w:r w:rsidRPr="00396A42">
        <w:t xml:space="preserve"> emphasize that in the DCF formula, the</w:t>
      </w:r>
      <w:r>
        <w:t xml:space="preserve"> Commission projects that the</w:t>
      </w:r>
      <w:r w:rsidRPr="00396A42">
        <w:t xml:space="preserve"> long-term growth </w:t>
      </w:r>
      <w:r>
        <w:t>of</w:t>
      </w:r>
      <w:r w:rsidRPr="00396A42">
        <w:t xml:space="preserve"> MLP pipelines</w:t>
      </w:r>
      <w:r>
        <w:t xml:space="preserve"> will be only half that of corporations.</w:t>
      </w:r>
      <w:r w:rsidRPr="00396A42">
        <w:rPr>
          <w:rStyle w:val="FootnoteReference"/>
        </w:rPr>
        <w:footnoteReference w:id="48"/>
      </w:r>
      <w:r>
        <w:t xml:space="preserve"> </w:t>
      </w:r>
      <w:r w:rsidRPr="00396A42">
        <w:t xml:space="preserve"> Therefore,</w:t>
      </w:r>
      <w:r>
        <w:t xml:space="preserve"> they argue</w:t>
      </w:r>
      <w:r w:rsidRPr="00396A42">
        <w:t xml:space="preserve"> “to the extent the Commission concludes that there is a potential for double</w:t>
      </w:r>
      <w:r>
        <w:t xml:space="preserve"> </w:t>
      </w:r>
      <w:r w:rsidRPr="00396A42">
        <w:t>recovery of income tax costs through the MLP ROE, the Commission has already addressed that concern.”</w:t>
      </w:r>
      <w:r w:rsidRPr="00396A42">
        <w:rPr>
          <w:rStyle w:val="FootnoteReference"/>
        </w:rPr>
        <w:footnoteReference w:id="49"/>
      </w:r>
    </w:p>
    <w:p w14:paraId="5CD98126" w14:textId="77777777" w:rsidR="00223BFE" w:rsidRPr="004E16FD" w:rsidRDefault="00223BFE" w:rsidP="00271ED9">
      <w:pPr>
        <w:pStyle w:val="FERCparanumber"/>
      </w:pPr>
      <w:r>
        <w:t>The Commission concludes that the treatment in the DCF analysis of</w:t>
      </w:r>
      <w:r w:rsidRPr="00396A42">
        <w:t xml:space="preserve"> the</w:t>
      </w:r>
      <w:r>
        <w:t xml:space="preserve"> long-term</w:t>
      </w:r>
      <w:r w:rsidRPr="00396A42">
        <w:t xml:space="preserve"> MLP growth </w:t>
      </w:r>
      <w:r>
        <w:t>projection</w:t>
      </w:r>
      <w:r w:rsidRPr="00396A42">
        <w:t xml:space="preserve"> does not </w:t>
      </w:r>
      <w:r>
        <w:t>resolve</w:t>
      </w:r>
      <w:r w:rsidRPr="00396A42">
        <w:t xml:space="preserve"> </w:t>
      </w:r>
      <w:r>
        <w:t xml:space="preserve">the </w:t>
      </w:r>
      <w:r w:rsidRPr="00396A42">
        <w:t>double-recovery concern</w:t>
      </w:r>
      <w:r>
        <w:t xml:space="preserve"> in </w:t>
      </w:r>
      <w:r>
        <w:rPr>
          <w:i/>
        </w:rPr>
        <w:t>United Airlines</w:t>
      </w:r>
      <w:r w:rsidRPr="00396A42">
        <w:t xml:space="preserve">.  </w:t>
      </w:r>
      <w:r>
        <w:t xml:space="preserve">When conducting a DCF analysis to determine investors’ required rate of return, the Commission halves the long-term growth rate for MLPs in the proxy group because </w:t>
      </w:r>
      <w:r w:rsidRPr="00396A42">
        <w:t>MLPs are likely to have a lower long</w:t>
      </w:r>
      <w:r>
        <w:t>-term</w:t>
      </w:r>
      <w:r w:rsidRPr="00396A42">
        <w:t xml:space="preserve"> growth rate than corporations.</w:t>
      </w:r>
      <w:r w:rsidRPr="00396A42">
        <w:rPr>
          <w:rStyle w:val="FootnoteReference"/>
        </w:rPr>
        <w:footnoteReference w:id="50"/>
      </w:r>
      <w:r w:rsidRPr="00396A42">
        <w:rPr>
          <w:vertAlign w:val="superscript"/>
        </w:rPr>
        <w:t xml:space="preserve"> </w:t>
      </w:r>
      <w:r w:rsidRPr="00396A42">
        <w:t xml:space="preserve"> </w:t>
      </w:r>
      <w:r>
        <w:t>T</w:t>
      </w:r>
      <w:r w:rsidRPr="00396A42">
        <w:t>he treatment of investor-level taxes presents a</w:t>
      </w:r>
      <w:r>
        <w:t>n entirely</w:t>
      </w:r>
      <w:r w:rsidRPr="00396A42">
        <w:t xml:space="preserve"> </w:t>
      </w:r>
      <w:r w:rsidRPr="00271ED9">
        <w:t>separate</w:t>
      </w:r>
      <w:r>
        <w:t xml:space="preserve"> issue</w:t>
      </w:r>
      <w:r w:rsidRPr="00396A42">
        <w:t>.  As discussed above,</w:t>
      </w:r>
      <w:r>
        <w:t xml:space="preserve"> regardless of the projected growth rate used in the DCF analysis to determine the investors’ required rate of return,</w:t>
      </w:r>
      <w:r w:rsidRPr="00396A42">
        <w:t xml:space="preserve"> </w:t>
      </w:r>
      <w:r>
        <w:t xml:space="preserve">that required </w:t>
      </w:r>
      <w:r>
        <w:lastRenderedPageBreak/>
        <w:t>return</w:t>
      </w:r>
      <w:r w:rsidRPr="00396A42">
        <w:t xml:space="preserve"> must provide investors </w:t>
      </w:r>
      <w:r>
        <w:t>cash flows</w:t>
      </w:r>
      <w:r w:rsidRPr="00396A42">
        <w:t xml:space="preserve"> to both (a) recover investor level tax costs and (b) provide the investor with a sufficient after tax return.</w:t>
      </w:r>
      <w:r>
        <w:t xml:space="preserve">             </w:t>
      </w:r>
      <w:r w:rsidRPr="00396A42">
        <w:t xml:space="preserve">   </w:t>
      </w:r>
    </w:p>
    <w:p w14:paraId="1F3C686C" w14:textId="0BAE3163" w:rsidR="00223BFE" w:rsidRDefault="00223BFE" w:rsidP="00223BFE">
      <w:pPr>
        <w:pStyle w:val="Heading5"/>
      </w:pPr>
      <w:r>
        <w:t>Pipelines’ Empirical Studies Do Not Re</w:t>
      </w:r>
      <w:r w:rsidR="001E49B3">
        <w:t>solve</w:t>
      </w:r>
      <w:r>
        <w:t xml:space="preserve"> the </w:t>
      </w:r>
      <w:r w:rsidR="00B124B1">
        <w:t>D.C. Circuit</w:t>
      </w:r>
      <w:r>
        <w:t>’</w:t>
      </w:r>
      <w:r w:rsidR="00B124B1">
        <w:t>s</w:t>
      </w:r>
      <w:r w:rsidR="004407BF">
        <w:t xml:space="preserve"> Double-Recovery Concern</w:t>
      </w:r>
    </w:p>
    <w:p w14:paraId="6B7EB400" w14:textId="77777777" w:rsidR="00223BFE" w:rsidRPr="00C530D7" w:rsidRDefault="00223BFE" w:rsidP="00271ED9">
      <w:pPr>
        <w:pStyle w:val="FERCparanumber"/>
      </w:pPr>
      <w:r>
        <w:t xml:space="preserve">Pipeline commenters advance two empirical criticisms of the holdings in </w:t>
      </w:r>
      <w:r>
        <w:rPr>
          <w:i/>
        </w:rPr>
        <w:t>United Airlines</w:t>
      </w:r>
      <w:r>
        <w:t xml:space="preserve">.  First, they criticize studies presented by shippers in the underlying SFPP proceeding showing that MLP </w:t>
      </w:r>
      <w:r w:rsidRPr="00271ED9">
        <w:t>pipeline</w:t>
      </w:r>
      <w:r>
        <w:t xml:space="preserve"> DCF returns exceed corporate pipeline DCF returns, while shipper commenters argue that a modified version of these studies supports the opposite result.  Second, the pipelines argue the relationship between MLP and corporate pipeline DCF returns does not show a systemic disparity consistent with the different tax levels, and, thus, they argue that this refutes the holding that there is no double recovery.  As discussed below, these arguments lack merit. </w:t>
      </w:r>
    </w:p>
    <w:p w14:paraId="76CC49C0" w14:textId="77777777" w:rsidR="00223BFE" w:rsidRPr="001E2B3B" w:rsidRDefault="00223BFE" w:rsidP="00223BFE">
      <w:pPr>
        <w:pStyle w:val="Heading6"/>
      </w:pPr>
      <w:r w:rsidRPr="001E2B3B">
        <w:t xml:space="preserve">i.  </w:t>
      </w:r>
      <w:r w:rsidRPr="001E2B3B">
        <w:tab/>
      </w:r>
      <w:r>
        <w:rPr>
          <w:u w:val="single"/>
        </w:rPr>
        <w:t>The</w:t>
      </w:r>
      <w:r w:rsidRPr="001E2B3B">
        <w:rPr>
          <w:u w:val="single"/>
        </w:rPr>
        <w:t xml:space="preserve"> Reasoning </w:t>
      </w:r>
      <w:r>
        <w:rPr>
          <w:u w:val="single"/>
        </w:rPr>
        <w:t xml:space="preserve">in </w:t>
      </w:r>
      <w:r w:rsidRPr="00B86370">
        <w:rPr>
          <w:i/>
          <w:u w:val="single"/>
        </w:rPr>
        <w:t>United Airlines</w:t>
      </w:r>
      <w:r w:rsidRPr="001E2B3B">
        <w:rPr>
          <w:u w:val="single"/>
        </w:rPr>
        <w:t xml:space="preserve"> Holds, Whether or Not MLP DCF Returns Exceed Corporate DCF Returns </w:t>
      </w:r>
    </w:p>
    <w:p w14:paraId="16363E5E" w14:textId="77777777" w:rsidR="00223BFE" w:rsidRPr="00FE3FCD" w:rsidRDefault="00223BFE" w:rsidP="00271ED9">
      <w:pPr>
        <w:pStyle w:val="FERCparanumber"/>
      </w:pPr>
      <w:r w:rsidRPr="00FE3FCD">
        <w:t xml:space="preserve">In order to counter </w:t>
      </w:r>
      <w:r>
        <w:rPr>
          <w:iCs/>
        </w:rPr>
        <w:t>the D.C. Circuit’s</w:t>
      </w:r>
      <w:r w:rsidRPr="00FE3FCD">
        <w:t xml:space="preserve"> double-recovery finding, </w:t>
      </w:r>
      <w:r>
        <w:t>p</w:t>
      </w:r>
      <w:r w:rsidRPr="00FE3FCD">
        <w:t xml:space="preserve">ipeline </w:t>
      </w:r>
      <w:r>
        <w:t>c</w:t>
      </w:r>
      <w:r w:rsidRPr="00FE3FCD">
        <w:t xml:space="preserve">ommenters attack studies presented by </w:t>
      </w:r>
      <w:r w:rsidRPr="00271ED9">
        <w:t>shippers</w:t>
      </w:r>
      <w:r w:rsidRPr="00FE3FCD">
        <w:t xml:space="preserve"> in the underlying SFPP 2008 West Line rate case</w:t>
      </w:r>
      <w:r>
        <w:t xml:space="preserve"> addressed on appeal in </w:t>
      </w:r>
      <w:r>
        <w:rPr>
          <w:i/>
        </w:rPr>
        <w:t>United Airlines</w:t>
      </w:r>
      <w:r w:rsidRPr="00FE3FCD">
        <w:t>.</w:t>
      </w:r>
      <w:r w:rsidRPr="00FE3FCD">
        <w:rPr>
          <w:rStyle w:val="FootnoteReference"/>
          <w:color w:val="000000" w:themeColor="text1"/>
        </w:rPr>
        <w:footnoteReference w:id="51"/>
      </w:r>
      <w:r w:rsidRPr="00FE3FCD">
        <w:t xml:space="preserve">  These studies purported to show that MLP </w:t>
      </w:r>
      <w:r>
        <w:t>p</w:t>
      </w:r>
      <w:r w:rsidRPr="00FE3FCD">
        <w:t xml:space="preserve">ipeline DCF returns exceeded </w:t>
      </w:r>
      <w:r>
        <w:t>corporate</w:t>
      </w:r>
      <w:r w:rsidRPr="00FE3FCD">
        <w:t xml:space="preserve"> </w:t>
      </w:r>
      <w:r>
        <w:t>p</w:t>
      </w:r>
      <w:r w:rsidRPr="00FE3FCD">
        <w:t>ipeline DCF returns</w:t>
      </w:r>
      <w:r>
        <w:t>, which the shippers argued showed that the DCF returns reflected tax differences</w:t>
      </w:r>
      <w:r w:rsidRPr="00FE3FCD">
        <w:t xml:space="preserve">.  Now, </w:t>
      </w:r>
      <w:r>
        <w:t>p</w:t>
      </w:r>
      <w:r w:rsidRPr="00FE3FCD">
        <w:t xml:space="preserve">ipeline </w:t>
      </w:r>
      <w:r>
        <w:t>c</w:t>
      </w:r>
      <w:r w:rsidRPr="00FE3FCD">
        <w:t xml:space="preserve">ommenters argue that due to alleged flaws in these studies, </w:t>
      </w:r>
      <w:r>
        <w:t xml:space="preserve">the court in </w:t>
      </w:r>
      <w:r>
        <w:rPr>
          <w:i/>
        </w:rPr>
        <w:t>United Airlines</w:t>
      </w:r>
      <w:r w:rsidRPr="00FE3FCD">
        <w:rPr>
          <w:i/>
          <w:iCs/>
        </w:rPr>
        <w:t xml:space="preserve"> </w:t>
      </w:r>
      <w:r w:rsidRPr="00FE3FCD">
        <w:t xml:space="preserve">erred by finding that the MLP </w:t>
      </w:r>
      <w:r>
        <w:t>p</w:t>
      </w:r>
      <w:r w:rsidRPr="00FE3FCD">
        <w:t xml:space="preserve">ipeline DCF returns include investor-level tax costs.  They assert that if their preferred sample of six pipelines (two </w:t>
      </w:r>
      <w:r>
        <w:t>corporations</w:t>
      </w:r>
      <w:r w:rsidRPr="00FE3FCD">
        <w:t xml:space="preserve"> and four MLPs) is considered, </w:t>
      </w:r>
      <w:r>
        <w:t>corporate</w:t>
      </w:r>
      <w:r w:rsidRPr="00FE3FCD">
        <w:t xml:space="preserve"> DCF returns may actually exceed MLP DCF returns.</w:t>
      </w:r>
      <w:r w:rsidRPr="00FE3FCD">
        <w:rPr>
          <w:rStyle w:val="FootnoteReference"/>
          <w:bCs/>
          <w:color w:val="000000" w:themeColor="text1"/>
        </w:rPr>
        <w:footnoteReference w:id="52"/>
      </w:r>
      <w:r w:rsidRPr="00FE3FCD">
        <w:t xml:space="preserve">     </w:t>
      </w:r>
    </w:p>
    <w:p w14:paraId="3A035A1D" w14:textId="77777777" w:rsidR="00223BFE" w:rsidRPr="00FE3FCD" w:rsidRDefault="00223BFE" w:rsidP="00271ED9">
      <w:pPr>
        <w:pStyle w:val="FERCparanumber"/>
      </w:pPr>
      <w:r w:rsidRPr="00FE3FCD">
        <w:t>The</w:t>
      </w:r>
      <w:r>
        <w:t xml:space="preserve"> criticisms of the underlying studies in SFPP’s 2008 West Line Rate case are irrelevant</w:t>
      </w:r>
      <w:r w:rsidRPr="00FE3FCD">
        <w:t xml:space="preserve">.  </w:t>
      </w:r>
      <w:r>
        <w:t xml:space="preserve">In </w:t>
      </w:r>
      <w:r>
        <w:rPr>
          <w:i/>
        </w:rPr>
        <w:t>United Airlines</w:t>
      </w:r>
      <w:r w:rsidRPr="00733EC0">
        <w:t>, the D.C.</w:t>
      </w:r>
      <w:r>
        <w:t xml:space="preserve"> </w:t>
      </w:r>
      <w:r w:rsidRPr="00733EC0">
        <w:t>Circuit</w:t>
      </w:r>
      <w:r w:rsidRPr="00FE3FCD">
        <w:t xml:space="preserve"> did not rely upon these studies to find that the DCF returns include MLP investors’ income tax costs, and the shipper-petitioners did not cite these studies in their appeal.</w:t>
      </w:r>
      <w:r w:rsidRPr="00FE3FCD">
        <w:rPr>
          <w:rStyle w:val="FootnoteReference"/>
          <w:bCs/>
          <w:color w:val="000000" w:themeColor="text1"/>
        </w:rPr>
        <w:footnoteReference w:id="53"/>
      </w:r>
      <w:r w:rsidRPr="00FE3FCD">
        <w:t xml:space="preserve">  Any such reliance would have been unnecessary.  As described above, the inclusion </w:t>
      </w:r>
      <w:r w:rsidRPr="00FE3FCD">
        <w:lastRenderedPageBreak/>
        <w:t xml:space="preserve">of MLP investor-level taxes in the DCF return necessarily follows from the basic application of DCF theory and the understanding that investors consider the tax consequences of their investments.      </w:t>
      </w:r>
    </w:p>
    <w:p w14:paraId="2DA4ECB1" w14:textId="64A4A696" w:rsidR="00223BFE" w:rsidRPr="00FE3FCD" w:rsidRDefault="00223BFE" w:rsidP="00271ED9">
      <w:pPr>
        <w:pStyle w:val="FERCparanumber"/>
      </w:pPr>
      <w:r w:rsidRPr="003D527E">
        <w:t>Furthermore, the studies are also</w:t>
      </w:r>
      <w:r w:rsidR="000E7FE0" w:rsidRPr="003D527E">
        <w:t xml:space="preserve"> inapposite</w:t>
      </w:r>
      <w:r>
        <w:t xml:space="preserve">. </w:t>
      </w:r>
      <w:r w:rsidRPr="00FE3FCD">
        <w:t xml:space="preserve"> </w:t>
      </w:r>
      <w:r>
        <w:t xml:space="preserve">The holding in </w:t>
      </w:r>
      <w:r>
        <w:rPr>
          <w:i/>
        </w:rPr>
        <w:t xml:space="preserve">United Airlines </w:t>
      </w:r>
      <w:r w:rsidRPr="00FE3FCD">
        <w:t xml:space="preserve">would not change if the </w:t>
      </w:r>
      <w:r>
        <w:t>p</w:t>
      </w:r>
      <w:r w:rsidRPr="00FE3FCD">
        <w:t xml:space="preserve">ipeline </w:t>
      </w:r>
      <w:r>
        <w:t>c</w:t>
      </w:r>
      <w:r w:rsidRPr="00FE3FCD">
        <w:t>ommenters were to conclusively establish that</w:t>
      </w:r>
      <w:r>
        <w:t xml:space="preserve"> </w:t>
      </w:r>
      <w:r w:rsidRPr="00FE3FCD">
        <w:t xml:space="preserve">when controlling for all factors but investor-level taxes, </w:t>
      </w:r>
      <w:r>
        <w:t>corporate</w:t>
      </w:r>
      <w:r w:rsidRPr="00FE3FCD">
        <w:t xml:space="preserve"> </w:t>
      </w:r>
      <w:r>
        <w:t>p</w:t>
      </w:r>
      <w:r w:rsidRPr="00FE3FCD">
        <w:t xml:space="preserve">ipeline DCF returns exceeded MLP </w:t>
      </w:r>
      <w:r>
        <w:t>p</w:t>
      </w:r>
      <w:r w:rsidRPr="00FE3FCD">
        <w:t xml:space="preserve">ipeline DCF returns.  This </w:t>
      </w:r>
      <w:r w:rsidRPr="00271ED9">
        <w:t>would</w:t>
      </w:r>
      <w:r w:rsidRPr="00FE3FCD">
        <w:t xml:space="preserve"> merely demonstrate that the MLP investors’ tax burden was less than the corporate investors’ dividend tax burden.</w:t>
      </w:r>
      <w:r w:rsidRPr="00FE3FCD">
        <w:rPr>
          <w:rStyle w:val="FootnoteReference"/>
          <w:bCs/>
        </w:rPr>
        <w:footnoteReference w:id="54"/>
      </w:r>
      <w:r w:rsidRPr="00FE3FCD">
        <w:t xml:space="preserve">  In order to attract capital, the investor-required MLP </w:t>
      </w:r>
      <w:r>
        <w:t>p</w:t>
      </w:r>
      <w:r w:rsidRPr="00FE3FCD">
        <w:t>ipeline DCF return would still include the investor-level tax costs, and thus, a double recovery results from the additional recovery of an income tax allowance for MLPs.</w:t>
      </w:r>
      <w:r>
        <w:rPr>
          <w:rStyle w:val="FootnoteReference"/>
        </w:rPr>
        <w:footnoteReference w:id="55"/>
      </w:r>
      <w:r w:rsidRPr="00FE3FCD">
        <w:t xml:space="preserve">  </w:t>
      </w:r>
    </w:p>
    <w:p w14:paraId="2B191A31" w14:textId="77777777" w:rsidR="00223BFE" w:rsidRPr="00FE3FCD" w:rsidRDefault="00223BFE" w:rsidP="00223BFE">
      <w:pPr>
        <w:pStyle w:val="Heading6"/>
      </w:pPr>
      <w:r>
        <w:t xml:space="preserve">ii.  </w:t>
      </w:r>
      <w:r>
        <w:tab/>
      </w:r>
      <w:r w:rsidRPr="007C4EEB">
        <w:rPr>
          <w:u w:val="single"/>
        </w:rPr>
        <w:t xml:space="preserve">The </w:t>
      </w:r>
      <w:r>
        <w:rPr>
          <w:u w:val="single"/>
        </w:rPr>
        <w:t>P</w:t>
      </w:r>
      <w:r w:rsidRPr="007C4EEB">
        <w:rPr>
          <w:u w:val="single"/>
        </w:rPr>
        <w:t xml:space="preserve">ipeline </w:t>
      </w:r>
      <w:r>
        <w:rPr>
          <w:u w:val="single"/>
        </w:rPr>
        <w:t>C</w:t>
      </w:r>
      <w:r w:rsidRPr="007C4EEB">
        <w:rPr>
          <w:u w:val="single"/>
        </w:rPr>
        <w:t>ommenters’ Empirical Evidence Fails to Disprove the Double Recovery</w:t>
      </w:r>
      <w:r w:rsidRPr="00FE3FCD">
        <w:t xml:space="preserve">  </w:t>
      </w:r>
    </w:p>
    <w:p w14:paraId="7D0EA61C" w14:textId="77777777" w:rsidR="00223BFE" w:rsidRPr="00721180" w:rsidRDefault="00223BFE" w:rsidP="00271ED9">
      <w:pPr>
        <w:pStyle w:val="FERCparanumber"/>
        <w:rPr>
          <w:color w:val="000000" w:themeColor="text1"/>
        </w:rPr>
      </w:pPr>
      <w:r>
        <w:rPr>
          <w:color w:val="000000" w:themeColor="text1"/>
        </w:rPr>
        <w:t xml:space="preserve">Pipelines make two broad arguments.  First, </w:t>
      </w:r>
      <w:r>
        <w:t>p</w:t>
      </w:r>
      <w:r w:rsidRPr="00FE3FCD">
        <w:t xml:space="preserve">ipeline </w:t>
      </w:r>
      <w:r>
        <w:t>c</w:t>
      </w:r>
      <w:r w:rsidRPr="00FE3FCD">
        <w:t xml:space="preserve">ommenters argue that if the DCF methodology includes </w:t>
      </w:r>
      <w:r w:rsidRPr="00271ED9">
        <w:t>investor</w:t>
      </w:r>
      <w:r w:rsidRPr="00FE3FCD">
        <w:t xml:space="preserve">-tax costs as determined by </w:t>
      </w:r>
      <w:r>
        <w:t xml:space="preserve">the D.C. Circuit in </w:t>
      </w:r>
      <w:r w:rsidRPr="00721180">
        <w:rPr>
          <w:i/>
          <w:iCs/>
        </w:rPr>
        <w:t>United Airlines</w:t>
      </w:r>
      <w:r w:rsidRPr="00FE3FCD">
        <w:t xml:space="preserve">, there should be a systematic relationship between MLP </w:t>
      </w:r>
      <w:r>
        <w:t>p</w:t>
      </w:r>
      <w:r w:rsidRPr="00FE3FCD">
        <w:t xml:space="preserve">ipeline and </w:t>
      </w:r>
      <w:r>
        <w:t>corporate</w:t>
      </w:r>
      <w:r w:rsidRPr="00FE3FCD">
        <w:t xml:space="preserve"> </w:t>
      </w:r>
      <w:r>
        <w:t>p</w:t>
      </w:r>
      <w:r w:rsidRPr="00FE3FCD">
        <w:t>ipeline DCF returns reflecting these differences in investor-level taxes.</w:t>
      </w:r>
      <w:r>
        <w:t xml:space="preserve">  Second, they argue that if pipelines are double-recovering their costs, then MLP pipelines should report higher DCF returns, distribution yields, and growth rates than corporate pipelines.</w:t>
      </w:r>
      <w:r w:rsidRPr="00FE3FCD">
        <w:t xml:space="preserve">  </w:t>
      </w:r>
    </w:p>
    <w:p w14:paraId="0D212648" w14:textId="77777777" w:rsidR="00C23C6F" w:rsidRDefault="00223BFE" w:rsidP="00271ED9">
      <w:pPr>
        <w:pStyle w:val="FERCparanumber"/>
      </w:pPr>
      <w:r>
        <w:lastRenderedPageBreak/>
        <w:t xml:space="preserve">In their first argument, </w:t>
      </w:r>
      <w:r w:rsidRPr="00271ED9">
        <w:t>pipelines</w:t>
      </w:r>
      <w:r>
        <w:t xml:space="preserve"> argue that if the DCF returns include investor tax costs, then there should be a consistent differential between MLP pipeline and corporate pipeline DCF returns.  For example, </w:t>
      </w:r>
      <w:r w:rsidRPr="00FE3FCD">
        <w:t xml:space="preserve">if MLP investor-level taxes exceed corporate investor-level taxes, then </w:t>
      </w:r>
      <w:r>
        <w:t>p</w:t>
      </w:r>
      <w:r w:rsidRPr="00FE3FCD">
        <w:t xml:space="preserve">ipeline </w:t>
      </w:r>
      <w:r>
        <w:t>c</w:t>
      </w:r>
      <w:r w:rsidRPr="00FE3FCD">
        <w:t xml:space="preserve">ommenters state </w:t>
      </w:r>
      <w:r>
        <w:t xml:space="preserve">that </w:t>
      </w:r>
      <w:r w:rsidRPr="00FE3FCD">
        <w:t xml:space="preserve">MLP </w:t>
      </w:r>
      <w:r>
        <w:t>p</w:t>
      </w:r>
      <w:r w:rsidRPr="00FE3FCD">
        <w:t xml:space="preserve">ipeline DCF returns should always exceed </w:t>
      </w:r>
      <w:r>
        <w:t>corporate</w:t>
      </w:r>
      <w:r w:rsidRPr="00FE3FCD">
        <w:t xml:space="preserve"> </w:t>
      </w:r>
      <w:r>
        <w:t>p</w:t>
      </w:r>
      <w:r w:rsidRPr="00FE3FCD">
        <w:t xml:space="preserve">ipeline DCF returns, or vice versa.  To refute </w:t>
      </w:r>
      <w:r>
        <w:t>the holding in</w:t>
      </w:r>
      <w:r w:rsidRPr="00FE3FCD">
        <w:t xml:space="preserve"> </w:t>
      </w:r>
      <w:r w:rsidRPr="00721180">
        <w:rPr>
          <w:i/>
          <w:iCs/>
        </w:rPr>
        <w:t>United Airlines</w:t>
      </w:r>
      <w:r w:rsidRPr="00FE3FCD">
        <w:t xml:space="preserve">, </w:t>
      </w:r>
      <w:r>
        <w:t>p</w:t>
      </w:r>
      <w:r w:rsidRPr="00FE3FCD">
        <w:t xml:space="preserve">ipeline </w:t>
      </w:r>
      <w:r>
        <w:t>c</w:t>
      </w:r>
      <w:r w:rsidRPr="00FE3FCD">
        <w:t xml:space="preserve">ommenters present empirical analyses purporting to show that the DCF returns for MLP </w:t>
      </w:r>
      <w:r>
        <w:t>p</w:t>
      </w:r>
      <w:r w:rsidRPr="00FE3FCD">
        <w:t>ipelines do not show a consistent differential.</w:t>
      </w:r>
      <w:r w:rsidRPr="00FE3FCD">
        <w:rPr>
          <w:rStyle w:val="FootnoteReference"/>
          <w:bCs/>
          <w:color w:val="000000"/>
        </w:rPr>
        <w:footnoteReference w:id="56"/>
      </w:r>
      <w:r w:rsidRPr="00FE3FCD">
        <w:t xml:space="preserve">  These studies consist of (1) a line graph showing DCF returns for 23 pipelines between August 2007 to January 2017 in which MLP </w:t>
      </w:r>
      <w:r>
        <w:t>p</w:t>
      </w:r>
      <w:r w:rsidRPr="00FE3FCD">
        <w:t>ipelines’ DCF returns</w:t>
      </w:r>
      <w:r>
        <w:t xml:space="preserve"> </w:t>
      </w:r>
      <w:r w:rsidRPr="00FE3FCD">
        <w:t xml:space="preserve">do not always exceed </w:t>
      </w:r>
      <w:r>
        <w:t>corporate</w:t>
      </w:r>
      <w:r w:rsidRPr="00FE3FCD">
        <w:t xml:space="preserve"> </w:t>
      </w:r>
      <w:r>
        <w:t>p</w:t>
      </w:r>
      <w:r w:rsidRPr="00FE3FCD">
        <w:t>ipelines’</w:t>
      </w:r>
    </w:p>
    <w:p w14:paraId="11C0727C" w14:textId="77777777" w:rsidR="00C23C6F" w:rsidRDefault="00C23C6F">
      <w:pPr>
        <w:widowControl/>
        <w:autoSpaceDE/>
        <w:autoSpaceDN/>
        <w:adjustRightInd/>
        <w:rPr>
          <w:szCs w:val="26"/>
        </w:rPr>
      </w:pPr>
      <w:r>
        <w:br w:type="page"/>
      </w:r>
    </w:p>
    <w:p w14:paraId="360777FC" w14:textId="3D670B59" w:rsidR="00223BFE" w:rsidRPr="00721180" w:rsidRDefault="00223BFE" w:rsidP="00C23C6F">
      <w:pPr>
        <w:pStyle w:val="FERCparanumber"/>
        <w:numPr>
          <w:ilvl w:val="0"/>
          <w:numId w:val="0"/>
        </w:numPr>
        <w:rPr>
          <w:color w:val="000000" w:themeColor="text1"/>
        </w:rPr>
      </w:pPr>
      <w:r w:rsidRPr="00FE3FCD">
        <w:lastRenderedPageBreak/>
        <w:t>returns,</w:t>
      </w:r>
      <w:r w:rsidRPr="00FE3FCD">
        <w:rPr>
          <w:rStyle w:val="FootnoteReference"/>
          <w:bCs/>
          <w:color w:val="000000"/>
        </w:rPr>
        <w:footnoteReference w:id="57"/>
      </w:r>
      <w:r>
        <w:t xml:space="preserve"> and </w:t>
      </w:r>
      <w:r w:rsidRPr="00FE3FCD">
        <w:t xml:space="preserve">(2) DCF returns over the January 2008 to January 2017 period comparing </w:t>
      </w:r>
      <w:r w:rsidR="005F49D4">
        <w:br/>
      </w:r>
      <w:r w:rsidRPr="00FE3FCD">
        <w:t>four pairs of MLP and corporate affiliates</w:t>
      </w:r>
      <w:r w:rsidRPr="00FE3FCD">
        <w:rPr>
          <w:rStyle w:val="FootnoteReference"/>
          <w:bCs/>
          <w:color w:val="000000" w:themeColor="text1"/>
        </w:rPr>
        <w:footnoteReference w:id="58"/>
      </w:r>
      <w:r w:rsidRPr="00FE3FCD">
        <w:t xml:space="preserve"> in which the relationship between the corporate affiliate and the MLP affiliate r</w:t>
      </w:r>
      <w:r>
        <w:t xml:space="preserve">eturns fluctuated significantly. </w:t>
      </w:r>
    </w:p>
    <w:p w14:paraId="5792C31B" w14:textId="77777777" w:rsidR="00223BFE" w:rsidRDefault="00223BFE" w:rsidP="00271ED9">
      <w:pPr>
        <w:pStyle w:val="FERCparanumber"/>
      </w:pPr>
      <w:r w:rsidRPr="00FE3FCD">
        <w:t>The</w:t>
      </w:r>
      <w:r>
        <w:t>se</w:t>
      </w:r>
      <w:r w:rsidRPr="00FE3FCD">
        <w:t xml:space="preserve"> studies suffer from fundamental methodological flaws that undermine </w:t>
      </w:r>
      <w:r>
        <w:t>the pipelines’ conclusions.  It is</w:t>
      </w:r>
      <w:r w:rsidRPr="00FE3FCD">
        <w:t xml:space="preserve"> </w:t>
      </w:r>
      <w:r w:rsidRPr="00271ED9">
        <w:t>true</w:t>
      </w:r>
      <w:r w:rsidRPr="00FE3FCD">
        <w:t xml:space="preserve"> that </w:t>
      </w:r>
      <w:r>
        <w:t>the</w:t>
      </w:r>
      <w:r w:rsidRPr="00FE3FCD">
        <w:t xml:space="preserve"> </w:t>
      </w:r>
      <w:r w:rsidRPr="00FE3FCD">
        <w:rPr>
          <w:i/>
          <w:iCs/>
        </w:rPr>
        <w:t>United Airlines</w:t>
      </w:r>
      <w:r w:rsidRPr="00FE3FCD">
        <w:rPr>
          <w:i/>
        </w:rPr>
        <w:t xml:space="preserve"> </w:t>
      </w:r>
      <w:r w:rsidRPr="00FE3FCD">
        <w:t xml:space="preserve">double-recovery theory would predict that, assuming all other factors are exactly equal, investor-level tax differences would create a differential between MLP and </w:t>
      </w:r>
      <w:r>
        <w:t>corporate</w:t>
      </w:r>
      <w:r w:rsidRPr="00FE3FCD">
        <w:t xml:space="preserve"> </w:t>
      </w:r>
      <w:r>
        <w:t>p</w:t>
      </w:r>
      <w:r w:rsidRPr="00FE3FCD">
        <w:t>ipeline DCF returns.</w:t>
      </w:r>
      <w:r w:rsidRPr="00FE3FCD">
        <w:rPr>
          <w:rStyle w:val="FootnoteReference"/>
          <w:bCs/>
          <w:color w:val="000000" w:themeColor="text1"/>
        </w:rPr>
        <w:footnoteReference w:id="59"/>
      </w:r>
      <w:r w:rsidRPr="00FE3FCD">
        <w:t xml:space="preserve">  However, differences in risk and other factors can subsume any effects of taxation, and because the studies inadequately control for varying risk levels, the studies do not isolate the effect of the MLP and corporate investor-level income </w:t>
      </w:r>
      <w:r>
        <w:t xml:space="preserve">taxes on the DCF returns.  The first study, </w:t>
      </w:r>
      <w:r w:rsidRPr="00FE3FCD">
        <w:t xml:space="preserve">which compared 23 MLP and </w:t>
      </w:r>
      <w:r>
        <w:t>corporate</w:t>
      </w:r>
      <w:r w:rsidRPr="00FE3FCD">
        <w:t xml:space="preserve"> </w:t>
      </w:r>
      <w:r>
        <w:t>p</w:t>
      </w:r>
      <w:r w:rsidRPr="00FE3FCD">
        <w:t>ipelines, completely ignores the entities’ differing risk levels</w:t>
      </w:r>
      <w:r>
        <w:rPr>
          <w:rStyle w:val="FootnoteReference"/>
        </w:rPr>
        <w:footnoteReference w:id="60"/>
      </w:r>
      <w:r w:rsidRPr="00FE3FCD">
        <w:t xml:space="preserve"> and merely shows a line graph of DCF returns for each pipeline without presenting any related numerical analysis.</w:t>
      </w:r>
      <w:r w:rsidRPr="00FE3FCD">
        <w:rPr>
          <w:rStyle w:val="FootnoteReference"/>
          <w:bCs/>
        </w:rPr>
        <w:footnoteReference w:id="61"/>
      </w:r>
      <w:r w:rsidRPr="00FE3FCD">
        <w:t xml:space="preserve"> </w:t>
      </w:r>
      <w:r w:rsidRPr="00FE3FCD">
        <w:rPr>
          <w:color w:val="000000"/>
        </w:rPr>
        <w:t xml:space="preserve"> </w:t>
      </w:r>
      <w:r w:rsidRPr="00FE3FCD">
        <w:t xml:space="preserve">While the </w:t>
      </w:r>
      <w:r>
        <w:t>p</w:t>
      </w:r>
      <w:r w:rsidRPr="00FE3FCD">
        <w:t xml:space="preserve">ipeline </w:t>
      </w:r>
      <w:r>
        <w:t>c</w:t>
      </w:r>
      <w:r w:rsidRPr="00FE3FCD">
        <w:t>ommenters’ second study attempts to address varying risk levels by comparing four affiliated corporations and MLPs in their first study,</w:t>
      </w:r>
      <w:r w:rsidRPr="00FE3FCD">
        <w:rPr>
          <w:rStyle w:val="FootnoteReference"/>
          <w:bCs/>
        </w:rPr>
        <w:footnoteReference w:id="62"/>
      </w:r>
      <w:r w:rsidRPr="00FE3FCD">
        <w:t xml:space="preserve"> the affiliated MLPs were only </w:t>
      </w:r>
      <w:r w:rsidRPr="00FE3FCD">
        <w:lastRenderedPageBreak/>
        <w:t xml:space="preserve">a fraction of the affiliated corporations’ larger business interests, which, as the </w:t>
      </w:r>
      <w:r>
        <w:t>p</w:t>
      </w:r>
      <w:r w:rsidRPr="00FE3FCD">
        <w:t xml:space="preserve">ipeline </w:t>
      </w:r>
      <w:r>
        <w:t>c</w:t>
      </w:r>
      <w:r w:rsidRPr="00FE3FCD">
        <w:t>ommenters concede, contributed to significant fluctuations in the relationship between the two entities’ relative DCF returns.</w:t>
      </w:r>
      <w:r w:rsidRPr="00FE3FCD">
        <w:rPr>
          <w:rStyle w:val="FootnoteReference"/>
          <w:bCs/>
        </w:rPr>
        <w:footnoteReference w:id="63"/>
      </w:r>
      <w:r w:rsidRPr="00FE3FCD">
        <w:rPr>
          <w:b/>
          <w:bCs/>
        </w:rPr>
        <w:t xml:space="preserve"> </w:t>
      </w:r>
      <w:r w:rsidRPr="00FE3FCD">
        <w:t xml:space="preserve"> Moreover, this analysis based upon a mere four examples does not establish how investor level taxes (as opposed to other factors) affect either corporate or MLP investor returns.  </w:t>
      </w:r>
    </w:p>
    <w:p w14:paraId="3453C45E" w14:textId="77777777" w:rsidR="00223BFE" w:rsidRDefault="00223BFE" w:rsidP="00271ED9">
      <w:pPr>
        <w:pStyle w:val="FERCparanumber"/>
      </w:pPr>
      <w:r>
        <w:t xml:space="preserve">Pipelines advance a second argument – that if MLPs are double recovering their costs, they should report higher returns than corporations.  For example, INGAA witness Sullivan also argues that “[i]f MLPs double recovered income taxes through both an income tax allowance and a DCF return, I </w:t>
      </w:r>
      <w:r w:rsidRPr="00271ED9">
        <w:t>would</w:t>
      </w:r>
      <w:r>
        <w:t xml:space="preserve"> expect the DCF ROEs and its components, the distribution yields and the IBES growth rates of MLPs to be systematically higher than corporations throughout the period 2008 to the present.”</w:t>
      </w:r>
      <w:r>
        <w:rPr>
          <w:rStyle w:val="FootnoteReference"/>
        </w:rPr>
        <w:footnoteReference w:id="64"/>
      </w:r>
      <w:r>
        <w:t xml:space="preserve">  Citing the same studies above, Sullivan argues that because the data does not show systematically higher returns, yields or growth rates for MLPs, there must be no double recovery.</w:t>
      </w:r>
    </w:p>
    <w:p w14:paraId="0CA110A9" w14:textId="1B97B511" w:rsidR="00223BFE" w:rsidRDefault="00223BFE" w:rsidP="00271ED9">
      <w:pPr>
        <w:pStyle w:val="FERCparanumber"/>
      </w:pPr>
      <w:r w:rsidRPr="00B11197">
        <w:t>The Commission</w:t>
      </w:r>
      <w:r w:rsidR="00BD6378" w:rsidRPr="00B11197">
        <w:t xml:space="preserve"> finds this argument </w:t>
      </w:r>
      <w:r w:rsidR="003D527E" w:rsidRPr="00B11197">
        <w:t xml:space="preserve">unpersuasive because it </w:t>
      </w:r>
      <w:r w:rsidR="00BD6378" w:rsidRPr="00B11197">
        <w:t>relies</w:t>
      </w:r>
      <w:r w:rsidR="003D527E" w:rsidRPr="00B11197">
        <w:t xml:space="preserve"> upon the same flawed studies discussed above</w:t>
      </w:r>
      <w:r w:rsidR="00BD6378" w:rsidRPr="00B11197">
        <w:t>.</w:t>
      </w:r>
      <w:r w:rsidR="00B11197">
        <w:t xml:space="preserve">  </w:t>
      </w:r>
      <w:r>
        <w:t>As noted above</w:t>
      </w:r>
      <w:r w:rsidR="007A3A77">
        <w:t>,</w:t>
      </w:r>
      <w:r>
        <w:t xml:space="preserve"> the line graphs provide a flawed analysis that may </w:t>
      </w:r>
      <w:r w:rsidRPr="00271ED9">
        <w:t>obscure</w:t>
      </w:r>
      <w:r>
        <w:t xml:space="preserve"> actual differences between MLPs and corporations and, more fundamentally, that fails to address the multiple other risk and market factors that could affect any particular MLP and corporate pipeline’s DCF returns, distribution yields, and growth levels.  Moreover, as discussed previously, to the extent an MLP pipeline double-recovers its costs, the unit price will rise – obscuring the effects of the double recovery in the distribution yields, projected growth rates, and DCF returns.</w:t>
      </w:r>
      <w:r>
        <w:rPr>
          <w:rStyle w:val="FootnoteReference"/>
        </w:rPr>
        <w:footnoteReference w:id="65"/>
      </w:r>
      <w:r>
        <w:t xml:space="preserve">  These studies do not undermine the double-recovery findings of </w:t>
      </w:r>
      <w:r>
        <w:rPr>
          <w:i/>
        </w:rPr>
        <w:t xml:space="preserve">United Airlines </w:t>
      </w:r>
      <w:r>
        <w:t>or the Remand Order.</w:t>
      </w:r>
    </w:p>
    <w:p w14:paraId="1A08D3F3" w14:textId="77777777" w:rsidR="00223BFE" w:rsidRPr="00E674F0" w:rsidRDefault="00223BFE" w:rsidP="003C341E">
      <w:pPr>
        <w:pStyle w:val="Heading3"/>
        <w:ind w:firstLine="0"/>
      </w:pPr>
      <w:r w:rsidRPr="00E674F0">
        <w:lastRenderedPageBreak/>
        <w:t>Other Arguments for Preserving an Income Tax Allowance Lack Merit</w:t>
      </w:r>
    </w:p>
    <w:p w14:paraId="5FB7DFBA" w14:textId="52A9D84D" w:rsidR="00223BFE" w:rsidRPr="00FE3FCD" w:rsidRDefault="00223BFE" w:rsidP="00271ED9">
      <w:pPr>
        <w:pStyle w:val="FERCparanumber"/>
      </w:pPr>
      <w:r w:rsidRPr="00FE3FCD">
        <w:t xml:space="preserve">Pipeline </w:t>
      </w:r>
      <w:r>
        <w:t>c</w:t>
      </w:r>
      <w:r w:rsidRPr="00FE3FCD">
        <w:t xml:space="preserve">ommenters also argue that even if a double recovery exists, the income tax allowance should nonetheless be preserved.  These arguments rely upon (1) </w:t>
      </w:r>
      <w:r>
        <w:t>C</w:t>
      </w:r>
      <w:r w:rsidRPr="00FE3FCD">
        <w:t xml:space="preserve">ongressional intent, (2) preserving </w:t>
      </w:r>
      <w:r w:rsidRPr="00271ED9">
        <w:t>parity</w:t>
      </w:r>
      <w:r w:rsidRPr="00FE3FCD">
        <w:t xml:space="preserve"> between </w:t>
      </w:r>
      <w:r>
        <w:t>corporate</w:t>
      </w:r>
      <w:r w:rsidRPr="00FE3FCD">
        <w:t xml:space="preserve"> and MLP </w:t>
      </w:r>
      <w:r>
        <w:t>pipelines, and (3) the effect of removing the income tax allowance upon the ability of pipelines to attract capital</w:t>
      </w:r>
      <w:r w:rsidRPr="00FE3FCD">
        <w:t xml:space="preserve">.  As discussed below, these arguments were either explicitly rejected by </w:t>
      </w:r>
      <w:r>
        <w:t xml:space="preserve">the D.C. Circuit in </w:t>
      </w:r>
      <w:r w:rsidRPr="00FE3FCD">
        <w:rPr>
          <w:i/>
          <w:iCs/>
        </w:rPr>
        <w:t xml:space="preserve">United Airlines </w:t>
      </w:r>
      <w:r w:rsidRPr="00FE3FCD">
        <w:t>or are</w:t>
      </w:r>
      <w:r w:rsidR="00F6166C">
        <w:t xml:space="preserve"> otherwise</w:t>
      </w:r>
      <w:r w:rsidRPr="00FE3FCD">
        <w:t xml:space="preserve"> without merit.    </w:t>
      </w:r>
    </w:p>
    <w:p w14:paraId="2C0EC33B" w14:textId="77777777" w:rsidR="00223BFE" w:rsidRPr="00FE3FCD" w:rsidRDefault="00223BFE" w:rsidP="00223BFE">
      <w:pPr>
        <w:pStyle w:val="Heading5"/>
      </w:pPr>
      <w:r w:rsidRPr="00FE3FCD">
        <w:t>Congressional Intent Does Not Authorize a Double Recovery</w:t>
      </w:r>
      <w:r w:rsidRPr="00FE3FCD">
        <w:rPr>
          <w:u w:val="none"/>
        </w:rPr>
        <w:t xml:space="preserve"> </w:t>
      </w:r>
    </w:p>
    <w:p w14:paraId="4D646E0C" w14:textId="77777777" w:rsidR="00223BFE" w:rsidRPr="00CB1F02" w:rsidRDefault="00223BFE" w:rsidP="00271ED9">
      <w:pPr>
        <w:pStyle w:val="FERCparanumber"/>
        <w:rPr>
          <w:b/>
          <w:bCs/>
          <w:color w:val="000000"/>
        </w:rPr>
      </w:pPr>
      <w:r w:rsidRPr="00FE3FCD">
        <w:t xml:space="preserve">Pipeline </w:t>
      </w:r>
      <w:r>
        <w:t>c</w:t>
      </w:r>
      <w:r w:rsidRPr="00FE3FCD">
        <w:t xml:space="preserve">ommenters argue that providing MLP </w:t>
      </w:r>
      <w:r>
        <w:t>p</w:t>
      </w:r>
      <w:r w:rsidRPr="00FE3FCD">
        <w:t>ipelines an income tax allowance implements Congress’ intent to facilitate infrastructure investment.</w:t>
      </w:r>
      <w:r w:rsidRPr="00FE3FCD">
        <w:rPr>
          <w:rStyle w:val="FootnoteReference"/>
          <w:bCs/>
        </w:rPr>
        <w:footnoteReference w:id="66"/>
      </w:r>
      <w:r w:rsidRPr="00FE3FCD">
        <w:rPr>
          <w:b/>
          <w:bCs/>
        </w:rPr>
        <w:t xml:space="preserve"> </w:t>
      </w:r>
      <w:r w:rsidRPr="00FE3FCD">
        <w:t xml:space="preserve"> In 1987 Congress </w:t>
      </w:r>
      <w:r w:rsidRPr="00FE3FCD">
        <w:rPr>
          <w:color w:val="000000"/>
        </w:rPr>
        <w:t>eliminated pass-through status for most publicly</w:t>
      </w:r>
      <w:r>
        <w:rPr>
          <w:color w:val="000000"/>
        </w:rPr>
        <w:t>-</w:t>
      </w:r>
      <w:r w:rsidRPr="00FE3FCD">
        <w:rPr>
          <w:color w:val="000000"/>
        </w:rPr>
        <w:t>traded partnerships, but explicitly granted an exception for certain energy-related MLPs in section 7704 of the Internal Revenue Code.</w:t>
      </w:r>
      <w:r w:rsidRPr="00FE3FCD">
        <w:rPr>
          <w:rStyle w:val="FootnoteReference"/>
          <w:bCs/>
          <w:color w:val="000000"/>
        </w:rPr>
        <w:footnoteReference w:id="67"/>
      </w:r>
      <w:r w:rsidRPr="00FE3FCD">
        <w:rPr>
          <w:b/>
          <w:bCs/>
          <w:color w:val="000000"/>
        </w:rPr>
        <w:t xml:space="preserve"> </w:t>
      </w:r>
      <w:r w:rsidRPr="00FE3FCD">
        <w:rPr>
          <w:color w:val="000000"/>
        </w:rPr>
        <w:t xml:space="preserve"> Pipeline </w:t>
      </w:r>
      <w:r>
        <w:rPr>
          <w:color w:val="000000"/>
        </w:rPr>
        <w:t>c</w:t>
      </w:r>
      <w:r w:rsidRPr="00FE3FCD">
        <w:rPr>
          <w:color w:val="000000"/>
        </w:rPr>
        <w:t>ommenters present two specific arguments to support their Congressional intent claims, both of which are unavailing.  First, t</w:t>
      </w:r>
      <w:r w:rsidRPr="00FE3FCD">
        <w:t>he</w:t>
      </w:r>
      <w:r>
        <w:t>y</w:t>
      </w:r>
      <w:r w:rsidRPr="00FE3FCD">
        <w:t xml:space="preserve"> argue that because the Commission’s policy in 1987 allowed pass-through entities to recover the same income tax allowance as corporations, Congress understood and intended to continue that rate treatment in section 7704.</w:t>
      </w:r>
      <w:r w:rsidRPr="00FE3FCD">
        <w:rPr>
          <w:rStyle w:val="FootnoteReference"/>
          <w:bCs/>
        </w:rPr>
        <w:footnoteReference w:id="68"/>
      </w:r>
      <w:r w:rsidRPr="00FE3FCD">
        <w:rPr>
          <w:b/>
          <w:bCs/>
        </w:rPr>
        <w:t xml:space="preserve"> </w:t>
      </w:r>
      <w:r w:rsidRPr="00FE3FCD">
        <w:t xml:space="preserve"> Second, the</w:t>
      </w:r>
      <w:r>
        <w:t>y</w:t>
      </w:r>
      <w:r w:rsidRPr="00FE3FCD">
        <w:t xml:space="preserve"> present a letter that Senator Max Baucus submitted to the Commission in 1996,</w:t>
      </w:r>
      <w:r w:rsidRPr="00FE3FCD">
        <w:rPr>
          <w:rStyle w:val="FootnoteReference"/>
          <w:bCs/>
        </w:rPr>
        <w:footnoteReference w:id="69"/>
      </w:r>
      <w:r w:rsidRPr="00FE3FCD">
        <w:t xml:space="preserve"> expressing concern with the Commission’s decision to allow MLP </w:t>
      </w:r>
      <w:r>
        <w:t>p</w:t>
      </w:r>
      <w:r w:rsidRPr="00FE3FCD">
        <w:t xml:space="preserve">ipelines only a partial income tax allowance in </w:t>
      </w:r>
      <w:r w:rsidRPr="00FE3FCD">
        <w:rPr>
          <w:i/>
          <w:iCs/>
        </w:rPr>
        <w:t>Lakehead.</w:t>
      </w:r>
      <w:r w:rsidRPr="00FE3FCD">
        <w:rPr>
          <w:rStyle w:val="FootnoteReference"/>
          <w:bCs/>
        </w:rPr>
        <w:footnoteReference w:id="70"/>
      </w:r>
    </w:p>
    <w:p w14:paraId="20DEA45E" w14:textId="0C4A544B" w:rsidR="00223BFE" w:rsidRPr="00FE3FCD" w:rsidRDefault="00223BFE" w:rsidP="00271ED9">
      <w:pPr>
        <w:pStyle w:val="FERCparanumber"/>
      </w:pPr>
      <w:r w:rsidRPr="00FE3FCD">
        <w:lastRenderedPageBreak/>
        <w:t>As</w:t>
      </w:r>
      <w:r>
        <w:t xml:space="preserve"> discussed in the Remand Order</w:t>
      </w:r>
      <w:r w:rsidRPr="00FE3FCD">
        <w:t xml:space="preserve">, the D.C. Circuit has twice rejected the argument that Congress’ intent in </w:t>
      </w:r>
      <w:r w:rsidRPr="00271ED9">
        <w:t>section</w:t>
      </w:r>
      <w:r w:rsidRPr="00FE3FCD">
        <w:t xml:space="preserve"> 7704 provides an independent basis for upholding a full income tax allowance for </w:t>
      </w:r>
      <w:r>
        <w:t>partnership</w:t>
      </w:r>
      <w:r w:rsidRPr="00FE3FCD">
        <w:t xml:space="preserve"> </w:t>
      </w:r>
      <w:r>
        <w:t>p</w:t>
      </w:r>
      <w:r w:rsidRPr="00FE3FCD">
        <w:t>ipelines.</w:t>
      </w:r>
      <w:r>
        <w:rPr>
          <w:rStyle w:val="FootnoteReference"/>
        </w:rPr>
        <w:footnoteReference w:id="71"/>
      </w:r>
      <w:r w:rsidRPr="00FE3FCD">
        <w:t xml:space="preserve">  Consistent with these holdings, </w:t>
      </w:r>
      <w:r>
        <w:t xml:space="preserve">the court in </w:t>
      </w:r>
      <w:r>
        <w:rPr>
          <w:i/>
        </w:rPr>
        <w:t>United Airlines</w:t>
      </w:r>
      <w:r w:rsidRPr="00FE3FCD">
        <w:rPr>
          <w:i/>
          <w:iCs/>
        </w:rPr>
        <w:t xml:space="preserve"> </w:t>
      </w:r>
      <w:r w:rsidRPr="00FE3FCD">
        <w:t>unequivocally instructed the Commission to consider “mechanisms for which the Commission can demonstrate that there is no double recovery.”</w:t>
      </w:r>
      <w:r w:rsidRPr="00FE3FCD">
        <w:rPr>
          <w:rStyle w:val="FootnoteReference"/>
          <w:bCs/>
        </w:rPr>
        <w:footnoteReference w:id="72"/>
      </w:r>
      <w:r w:rsidRPr="00FE3FCD">
        <w:rPr>
          <w:b/>
          <w:bCs/>
        </w:rPr>
        <w:t xml:space="preserve"> </w:t>
      </w:r>
      <w:r w:rsidRPr="00FE3FCD">
        <w:t xml:space="preserve"> Accordingly, the </w:t>
      </w:r>
      <w:r>
        <w:t>p</w:t>
      </w:r>
      <w:r w:rsidRPr="00FE3FCD">
        <w:t xml:space="preserve">ipeline </w:t>
      </w:r>
      <w:r>
        <w:t>c</w:t>
      </w:r>
      <w:r w:rsidRPr="00FE3FCD">
        <w:t xml:space="preserve">ommenters’ attempt to justify affording MLP </w:t>
      </w:r>
      <w:r>
        <w:t>p</w:t>
      </w:r>
      <w:r w:rsidRPr="00FE3FCD">
        <w:t xml:space="preserve">ipelines an income tax allowance on the basis that the Commission is implementing Congress’ intent in section 7704 is contrary to </w:t>
      </w:r>
      <w:r w:rsidRPr="00FE3FCD">
        <w:rPr>
          <w:i/>
          <w:iCs/>
        </w:rPr>
        <w:t>United Airlines</w:t>
      </w:r>
      <w:r w:rsidRPr="00FE3FCD">
        <w:t xml:space="preserve">.  </w:t>
      </w:r>
    </w:p>
    <w:p w14:paraId="1854741B" w14:textId="77777777" w:rsidR="00223BFE" w:rsidRPr="00FE3FCD" w:rsidRDefault="00223BFE" w:rsidP="00271ED9">
      <w:pPr>
        <w:pStyle w:val="FERCparanumber"/>
      </w:pPr>
      <w:r w:rsidRPr="00FE3FCD">
        <w:t xml:space="preserve">In addition, the </w:t>
      </w:r>
      <w:r>
        <w:t>p</w:t>
      </w:r>
      <w:r w:rsidRPr="00FE3FCD">
        <w:t xml:space="preserve">ipeline </w:t>
      </w:r>
      <w:r>
        <w:t>c</w:t>
      </w:r>
      <w:r w:rsidRPr="00FE3FCD">
        <w:t>ommenters fail to demonstrate that Congress intended the Commission’s income tax allowance policy to provide a necessary component of the advantages conferred in section 7704.  The</w:t>
      </w:r>
      <w:r>
        <w:t>y</w:t>
      </w:r>
      <w:r w:rsidRPr="00FE3FCD">
        <w:t xml:space="preserve"> provide no support for their argument that because the Commission afforded partnerships a tax allowance in 1987, Congress intended to continue that rate treatment in the 1987 legislation.</w:t>
      </w:r>
      <w:r>
        <w:rPr>
          <w:rStyle w:val="FootnoteReference"/>
        </w:rPr>
        <w:footnoteReference w:id="73"/>
      </w:r>
      <w:r w:rsidRPr="00FE3FCD">
        <w:t xml:space="preserve"> </w:t>
      </w:r>
      <w:r w:rsidRPr="00FE3FCD">
        <w:rPr>
          <w:b/>
          <w:bCs/>
        </w:rPr>
        <w:t xml:space="preserve"> </w:t>
      </w:r>
      <w:r w:rsidRPr="00FE3FCD">
        <w:t xml:space="preserve"> </w:t>
      </w:r>
    </w:p>
    <w:p w14:paraId="7AF6EDFF" w14:textId="63D1B23C" w:rsidR="00223BFE" w:rsidRPr="00FE3FCD" w:rsidRDefault="00223BFE" w:rsidP="00271ED9">
      <w:pPr>
        <w:pStyle w:val="FERCparanumber"/>
      </w:pPr>
      <w:r w:rsidRPr="00FE3FCD">
        <w:lastRenderedPageBreak/>
        <w:t xml:space="preserve">Nor do the </w:t>
      </w:r>
      <w:r>
        <w:t>p</w:t>
      </w:r>
      <w:r w:rsidRPr="00FE3FCD">
        <w:t xml:space="preserve">ipeline </w:t>
      </w:r>
      <w:r>
        <w:t>c</w:t>
      </w:r>
      <w:r w:rsidRPr="00FE3FCD">
        <w:t xml:space="preserve">ommenters present any legislative history to support their </w:t>
      </w:r>
      <w:r w:rsidR="005F49D4">
        <w:br/>
      </w:r>
      <w:r w:rsidRPr="00FE3FCD">
        <w:t xml:space="preserve">claim.  Regarding the letter from Senator Baucus, evidence of legislative intent that occurs subsequent to, and in this </w:t>
      </w:r>
      <w:r w:rsidRPr="00271ED9">
        <w:t>case</w:t>
      </w:r>
      <w:r w:rsidRPr="00FE3FCD">
        <w:t xml:space="preserve"> years after, the 1987 enactment of section 7704</w:t>
      </w:r>
      <w:r>
        <w:t xml:space="preserve"> is entitled to little, if any weight</w:t>
      </w:r>
      <w:r w:rsidRPr="00FE3FCD">
        <w:t>.</w:t>
      </w:r>
      <w:r w:rsidRPr="00FE3FCD">
        <w:rPr>
          <w:rStyle w:val="FootnoteReference"/>
          <w:bCs/>
        </w:rPr>
        <w:footnoteReference w:id="74"/>
      </w:r>
      <w:r w:rsidRPr="00FE3FCD">
        <w:rPr>
          <w:color w:val="000000"/>
        </w:rPr>
        <w:t xml:space="preserve">  </w:t>
      </w:r>
      <w:r w:rsidRPr="00B57D30">
        <w:t xml:space="preserve">The MLPA also </w:t>
      </w:r>
      <w:r>
        <w:t>points to</w:t>
      </w:r>
      <w:r w:rsidRPr="00B57D30">
        <w:t xml:space="preserve"> other legislation </w:t>
      </w:r>
      <w:r>
        <w:t>by Congress in recent years to</w:t>
      </w:r>
      <w:r w:rsidRPr="00B57D30">
        <w:t xml:space="preserve"> </w:t>
      </w:r>
      <w:r>
        <w:t>demonstrate</w:t>
      </w:r>
      <w:r w:rsidRPr="00B57D30">
        <w:t xml:space="preserve"> ongoing support for the use of MLPs to raise capital in the energy sector</w:t>
      </w:r>
      <w:r>
        <w:t>.  These statutes do not include any specific provisions related to MLP pipeline rate treatment.</w:t>
      </w:r>
      <w:r w:rsidRPr="00FE3FCD">
        <w:rPr>
          <w:rStyle w:val="FootnoteReference"/>
          <w:bCs/>
        </w:rPr>
        <w:footnoteReference w:id="75"/>
      </w:r>
      <w:r w:rsidDel="00D707E3">
        <w:t xml:space="preserve"> </w:t>
      </w:r>
    </w:p>
    <w:p w14:paraId="6E1546B2" w14:textId="77777777" w:rsidR="00223BFE" w:rsidRDefault="00223BFE" w:rsidP="00271ED9">
      <w:pPr>
        <w:pStyle w:val="FERCparanumber"/>
      </w:pPr>
      <w:r w:rsidRPr="00FE3FCD">
        <w:t>In conclusion, removing the income tax allowance will not eviscerate the preferential tax treatment that Congress gave entities engaged in natural resource activities</w:t>
      </w:r>
      <w:r w:rsidRPr="00FE3FCD">
        <w:rPr>
          <w:rStyle w:val="FootnoteReference"/>
          <w:bCs/>
        </w:rPr>
        <w:footnoteReference w:id="76"/>
      </w:r>
      <w:r w:rsidRPr="00FE3FCD">
        <w:t xml:space="preserve"> by </w:t>
      </w:r>
      <w:r>
        <w:t>permitt</w:t>
      </w:r>
      <w:r w:rsidRPr="00FE3FCD">
        <w:t>ing them to operate as publicly-traded partnerships with pass-through taxation, including the ability to reach a broader base of investors and defer certain tax obligations.</w:t>
      </w:r>
      <w:r w:rsidRPr="00FE3FCD">
        <w:rPr>
          <w:rStyle w:val="FootnoteReference"/>
          <w:bCs/>
        </w:rPr>
        <w:footnoteReference w:id="77"/>
      </w:r>
      <w:r w:rsidRPr="00FE3FCD">
        <w:rPr>
          <w:b/>
          <w:bCs/>
        </w:rPr>
        <w:t xml:space="preserve"> </w:t>
      </w:r>
      <w:r w:rsidRPr="00FE3FCD">
        <w:t xml:space="preserve"> Even in the absence of an income tax allowance, the energy sector will benefit from the MLP business form by </w:t>
      </w:r>
      <w:r w:rsidRPr="00271ED9">
        <w:t>enabling</w:t>
      </w:r>
      <w:r w:rsidRPr="00FE3FCD">
        <w:t xml:space="preserve"> MLP-owned pipelines to provide lower tariff rates to shippers, including those engaged in production, marketing and refining.</w:t>
      </w:r>
    </w:p>
    <w:p w14:paraId="41460CA1" w14:textId="77777777" w:rsidR="00223BFE" w:rsidRPr="00FE3FCD" w:rsidRDefault="00223BFE" w:rsidP="00223BFE">
      <w:pPr>
        <w:pStyle w:val="Heading5"/>
      </w:pPr>
      <w:r w:rsidRPr="00FE3FCD">
        <w:lastRenderedPageBreak/>
        <w:t>Preserving the Income Tax Allowance for MLP Pi</w:t>
      </w:r>
      <w:r>
        <w:t>pelines Does Not Create Parity</w:t>
      </w:r>
    </w:p>
    <w:p w14:paraId="375F60F8" w14:textId="77777777" w:rsidR="00223BFE" w:rsidRDefault="00223BFE" w:rsidP="00271ED9">
      <w:pPr>
        <w:pStyle w:val="FERCparanumber"/>
      </w:pPr>
      <w:r>
        <w:t>P</w:t>
      </w:r>
      <w:r w:rsidRPr="00FE3FCD">
        <w:t xml:space="preserve">ipeline </w:t>
      </w:r>
      <w:r w:rsidRPr="00271ED9">
        <w:t>commenters</w:t>
      </w:r>
      <w:r w:rsidRPr="00FE3FCD">
        <w:t xml:space="preserve"> claim that removing the income tax allowance would put MLP </w:t>
      </w:r>
      <w:r>
        <w:t>p</w:t>
      </w:r>
      <w:r w:rsidRPr="00FE3FCD">
        <w:t xml:space="preserve">ipelines at a competitive disadvantage relative to </w:t>
      </w:r>
      <w:r>
        <w:t>corporate</w:t>
      </w:r>
      <w:r w:rsidRPr="00FE3FCD">
        <w:t xml:space="preserve"> </w:t>
      </w:r>
      <w:r>
        <w:t>p</w:t>
      </w:r>
      <w:r w:rsidRPr="00FE3FCD">
        <w:t>ipelines</w:t>
      </w:r>
      <w:r>
        <w:t>.</w:t>
      </w:r>
      <w:r w:rsidRPr="00FE3FCD">
        <w:rPr>
          <w:rStyle w:val="FootnoteReference"/>
          <w:bCs/>
          <w:color w:val="000000"/>
        </w:rPr>
        <w:footnoteReference w:id="78"/>
      </w:r>
      <w:r>
        <w:t xml:space="preserve">   </w:t>
      </w:r>
    </w:p>
    <w:p w14:paraId="6117D3D2" w14:textId="77777777" w:rsidR="00223BFE" w:rsidRPr="00181970" w:rsidRDefault="00223BFE" w:rsidP="00271ED9">
      <w:pPr>
        <w:pStyle w:val="FERCparanumber"/>
      </w:pPr>
      <w:r>
        <w:rPr>
          <w:iCs/>
        </w:rPr>
        <w:t xml:space="preserve">The court in </w:t>
      </w:r>
      <w:r w:rsidRPr="00FE3FCD">
        <w:rPr>
          <w:i/>
          <w:iCs/>
        </w:rPr>
        <w:t xml:space="preserve">United Airlines </w:t>
      </w:r>
      <w:r w:rsidRPr="00FE3FCD">
        <w:t xml:space="preserve">reached the opposite conclusion.  The </w:t>
      </w:r>
      <w:r>
        <w:t>c</w:t>
      </w:r>
      <w:r w:rsidRPr="00FE3FCD">
        <w:t xml:space="preserve">ourt </w:t>
      </w:r>
      <w:r>
        <w:t>determined</w:t>
      </w:r>
      <w:r w:rsidRPr="00FE3FCD">
        <w:t xml:space="preserve"> that granting MLP </w:t>
      </w:r>
      <w:r>
        <w:t>p</w:t>
      </w:r>
      <w:r w:rsidRPr="00FE3FCD">
        <w:t xml:space="preserve">ipelines an income tax allowance results in inequitable </w:t>
      </w:r>
      <w:r>
        <w:t xml:space="preserve">returns for partners as compared to </w:t>
      </w:r>
      <w:r w:rsidRPr="00271ED9">
        <w:t>corporate</w:t>
      </w:r>
      <w:r>
        <w:t xml:space="preserve"> shareholders </w:t>
      </w:r>
      <w:r w:rsidRPr="00FE3FCD">
        <w:t xml:space="preserve">because this policy allows </w:t>
      </w:r>
      <w:r>
        <w:t>partnership</w:t>
      </w:r>
      <w:r w:rsidRPr="00FE3FCD">
        <w:t xml:space="preserve"> </w:t>
      </w:r>
      <w:r>
        <w:t>p</w:t>
      </w:r>
      <w:r w:rsidRPr="00FE3FCD">
        <w:t xml:space="preserve">ipelines, unlike </w:t>
      </w:r>
      <w:r>
        <w:t>corporate</w:t>
      </w:r>
      <w:r w:rsidRPr="00FE3FCD">
        <w:t xml:space="preserve"> </w:t>
      </w:r>
      <w:r>
        <w:t>p</w:t>
      </w:r>
      <w:r w:rsidRPr="00FE3FCD">
        <w:t>ipelines, to recover their income tax costs twice.</w:t>
      </w:r>
      <w:r w:rsidRPr="00FE3FCD">
        <w:rPr>
          <w:rStyle w:val="FootnoteReference"/>
          <w:bCs/>
        </w:rPr>
        <w:footnoteReference w:id="79"/>
      </w:r>
      <w:r w:rsidRPr="00FE3FCD">
        <w:t xml:space="preserve">  Therefore, removal of the income tax allowance for MLP </w:t>
      </w:r>
      <w:r>
        <w:t>p</w:t>
      </w:r>
      <w:r w:rsidRPr="00FE3FCD">
        <w:t>ipelines restores parity between MLPs and corporations by ensuring that a pipeline recovers its income tax costs only once regardless of business form.</w:t>
      </w:r>
      <w:r>
        <w:rPr>
          <w:rStyle w:val="FootnoteReference"/>
        </w:rPr>
        <w:footnoteReference w:id="80"/>
      </w:r>
      <w:r>
        <w:t xml:space="preserve">  </w:t>
      </w:r>
    </w:p>
    <w:p w14:paraId="6A26154D" w14:textId="77777777" w:rsidR="00223BFE" w:rsidRPr="00FE3FCD" w:rsidRDefault="00223BFE" w:rsidP="00223BFE">
      <w:pPr>
        <w:pStyle w:val="Heading5"/>
      </w:pPr>
      <w:r w:rsidRPr="00FE3FCD">
        <w:t xml:space="preserve">Preserving the Income Tax Allowance </w:t>
      </w:r>
      <w:r>
        <w:t>Is Not Necessary for Pipelines To Attract Capital</w:t>
      </w:r>
    </w:p>
    <w:p w14:paraId="520C0808" w14:textId="1AF8C2DF" w:rsidR="00230EE1" w:rsidRDefault="00223BFE" w:rsidP="00271ED9">
      <w:pPr>
        <w:pStyle w:val="FERCparanumber"/>
      </w:pPr>
      <w:r>
        <w:t xml:space="preserve">Pipelines claim that removal of the income tax allowance for MLPs will deny pipelines adequate recovery under </w:t>
      </w:r>
      <w:r w:rsidRPr="005C7D98">
        <w:rPr>
          <w:i/>
        </w:rPr>
        <w:t>Hope</w:t>
      </w:r>
      <w:r>
        <w:t xml:space="preserve"> and deter investment.</w:t>
      </w:r>
      <w:r>
        <w:rPr>
          <w:rStyle w:val="FootnoteReference"/>
        </w:rPr>
        <w:footnoteReference w:id="81"/>
      </w:r>
      <w:r>
        <w:t xml:space="preserve">  This is not the case.  Notwithstanding the absence of an income tax allowance, MLP pipelines will continue to recover their costs and a reasonable return for investors.  </w:t>
      </w:r>
      <w:r w:rsidRPr="00C26C1F">
        <w:rPr>
          <w:i/>
        </w:rPr>
        <w:t>United Airlines</w:t>
      </w:r>
      <w:r>
        <w:t xml:space="preserve"> and the Remand Order merely deny MLP pipelines the double recovery of their income tax costs.</w:t>
      </w:r>
    </w:p>
    <w:p w14:paraId="5458A12E" w14:textId="77777777" w:rsidR="00230EE1" w:rsidRDefault="00230EE1">
      <w:pPr>
        <w:widowControl/>
        <w:autoSpaceDE/>
        <w:autoSpaceDN/>
        <w:adjustRightInd/>
        <w:rPr>
          <w:szCs w:val="26"/>
        </w:rPr>
      </w:pPr>
      <w:r>
        <w:br w:type="page"/>
      </w:r>
    </w:p>
    <w:p w14:paraId="329D0BAD" w14:textId="77777777" w:rsidR="00223BFE" w:rsidRPr="00F36325" w:rsidRDefault="00223BFE" w:rsidP="00223BFE">
      <w:pPr>
        <w:pStyle w:val="Heading2"/>
        <w:keepNext w:val="0"/>
        <w:keepLines w:val="0"/>
        <w:tabs>
          <w:tab w:val="num" w:pos="1440"/>
        </w:tabs>
        <w:spacing w:after="240"/>
      </w:pPr>
      <w:r>
        <w:lastRenderedPageBreak/>
        <w:t xml:space="preserve">Conclusion </w:t>
      </w:r>
    </w:p>
    <w:p w14:paraId="4DD5AD7C" w14:textId="59502D1A" w:rsidR="00223BFE" w:rsidRDefault="00223BFE" w:rsidP="00271ED9">
      <w:pPr>
        <w:pStyle w:val="FERCparanumber"/>
      </w:pPr>
      <w:r>
        <w:t xml:space="preserve">As discussed above, </w:t>
      </w:r>
      <w:r w:rsidRPr="00271ED9">
        <w:t>the</w:t>
      </w:r>
      <w:r>
        <w:t xml:space="preserve"> Commission finds that granting an MLP an income tax allowance results in an impermissible double recovery.  This </w:t>
      </w:r>
      <w:r w:rsidR="006C2516">
        <w:t xml:space="preserve">Revised </w:t>
      </w:r>
      <w:r>
        <w:t>Policy Statement does not address other, non-MLP</w:t>
      </w:r>
      <w:r w:rsidRPr="00526C9C">
        <w:t xml:space="preserve"> partnership</w:t>
      </w:r>
      <w:r w:rsidR="00D126F1">
        <w:t xml:space="preserve"> or other pass-through business</w:t>
      </w:r>
      <w:r>
        <w:t xml:space="preserve"> forms.</w:t>
      </w:r>
      <w:r w:rsidRPr="00FE3FCD" w:rsidDel="002123E0">
        <w:rPr>
          <w:rStyle w:val="FootnoteReference"/>
          <w:bCs/>
          <w:color w:val="000000" w:themeColor="text1"/>
        </w:rPr>
        <w:footnoteReference w:id="82"/>
      </w:r>
      <w:r>
        <w:t xml:space="preserve">  While any </w:t>
      </w:r>
      <w:r w:rsidR="0086587C">
        <w:t xml:space="preserve">such </w:t>
      </w:r>
      <w:r w:rsidR="00D126F1">
        <w:t xml:space="preserve">entity </w:t>
      </w:r>
      <w:r>
        <w:t xml:space="preserve">claiming an income tax allowance will need to address the concerns raised by the court in </w:t>
      </w:r>
      <w:r>
        <w:rPr>
          <w:i/>
        </w:rPr>
        <w:t>United Airlines</w:t>
      </w:r>
      <w:r w:rsidRPr="009D39F4">
        <w:t>,</w:t>
      </w:r>
      <w:r w:rsidRPr="001B6F05">
        <w:t xml:space="preserve"> </w:t>
      </w:r>
      <w:r>
        <w:t xml:space="preserve">the Commission will address income tax allowance issues involving non-MLP partnership forms in subsequent proceedings. </w:t>
      </w:r>
      <w:r w:rsidRPr="00526C9C">
        <w:t xml:space="preserve"> </w:t>
      </w:r>
    </w:p>
    <w:p w14:paraId="5BD98883" w14:textId="0FA25B58" w:rsidR="00974A4D" w:rsidRPr="0094574D" w:rsidRDefault="00223BFE" w:rsidP="0094574D">
      <w:pPr>
        <w:pStyle w:val="FERCparanumber"/>
        <w:rPr>
          <w:b/>
          <w:u w:val="single"/>
        </w:rPr>
      </w:pPr>
      <w:r w:rsidRPr="00733EC0">
        <w:t xml:space="preserve">This </w:t>
      </w:r>
      <w:r w:rsidR="006C2516">
        <w:t xml:space="preserve">Revised </w:t>
      </w:r>
      <w:r w:rsidRPr="00733EC0">
        <w:t xml:space="preserve">Policy Statement </w:t>
      </w:r>
      <w:r w:rsidRPr="00271ED9">
        <w:t xml:space="preserve">will affect both oil and </w:t>
      </w:r>
      <w:r w:rsidR="006F6FD5">
        <w:t xml:space="preserve">natural </w:t>
      </w:r>
      <w:r w:rsidRPr="00271ED9">
        <w:t>gas MLP pipelines on a going-forward basis.</w:t>
      </w:r>
      <w:r w:rsidRPr="00A37781">
        <w:rPr>
          <w:b/>
        </w:rPr>
        <w:t xml:space="preserve">  </w:t>
      </w:r>
      <w:r w:rsidR="006F6FD5">
        <w:t xml:space="preserve">Some late-filed comments proposed that the Commission take immediate action to require natural gas and oil pipelines to reduce rates to reflect the Tax Cuts and Jobs Act.  </w:t>
      </w:r>
      <w:r w:rsidR="00E73391">
        <w:t>As noted</w:t>
      </w:r>
      <w:r w:rsidR="00F6166C">
        <w:t xml:space="preserve"> above, t</w:t>
      </w:r>
      <w:r w:rsidRPr="00271ED9">
        <w:t xml:space="preserve">he Commission is concurrently issuing a Notice of Proposed Rulemaking that addresses the effects upon </w:t>
      </w:r>
      <w:r w:rsidR="006F6FD5">
        <w:t xml:space="preserve">interstate natural </w:t>
      </w:r>
      <w:r w:rsidRPr="00271ED9">
        <w:t xml:space="preserve">gas pipeline rates of </w:t>
      </w:r>
      <w:r w:rsidR="00A37781" w:rsidRPr="00271ED9">
        <w:t>the post-</w:t>
      </w:r>
      <w:r w:rsidRPr="00A37781">
        <w:rPr>
          <w:i/>
        </w:rPr>
        <w:t>United Airlines</w:t>
      </w:r>
      <w:r w:rsidR="00A37781" w:rsidRPr="00A37781">
        <w:rPr>
          <w:i/>
        </w:rPr>
        <w:t xml:space="preserve">’ </w:t>
      </w:r>
      <w:r w:rsidR="00A37781">
        <w:t>policy changes</w:t>
      </w:r>
      <w:r w:rsidRPr="00A37781">
        <w:rPr>
          <w:i/>
        </w:rPr>
        <w:t xml:space="preserve"> </w:t>
      </w:r>
      <w:r w:rsidRPr="00271ED9">
        <w:t>and the Tax Cuts and Jobs Act of 2017.</w:t>
      </w:r>
      <w:r w:rsidRPr="00271ED9">
        <w:rPr>
          <w:rStyle w:val="FootnoteReference"/>
        </w:rPr>
        <w:footnoteReference w:id="83"/>
      </w:r>
      <w:r w:rsidRPr="00271ED9">
        <w:t xml:space="preserve">  While the Commission is not taking similar industry-wide action regarding oil pipeline rates, these issues will be addressed in due course. </w:t>
      </w:r>
      <w:r w:rsidR="00025A61">
        <w:t xml:space="preserve"> </w:t>
      </w:r>
      <w:r w:rsidR="0094574D">
        <w:t>W</w:t>
      </w:r>
      <w:r w:rsidR="0094574D" w:rsidRPr="00271ED9">
        <w:t xml:space="preserve">hen </w:t>
      </w:r>
      <w:r w:rsidRPr="00271ED9">
        <w:t>oil pipelines file Form No. 6, page 700</w:t>
      </w:r>
      <w:r w:rsidR="0094574D">
        <w:t xml:space="preserve"> on April 18, 2018</w:t>
      </w:r>
      <w:r w:rsidRPr="00271ED9">
        <w:t>, they must report an income tax allowance consistent with</w:t>
      </w:r>
      <w:r w:rsidR="0094574D">
        <w:t xml:space="preserve"> </w:t>
      </w:r>
      <w:r w:rsidR="0094574D">
        <w:rPr>
          <w:i/>
        </w:rPr>
        <w:t xml:space="preserve">United Airlines </w:t>
      </w:r>
      <w:r w:rsidR="0094574D">
        <w:t xml:space="preserve">and </w:t>
      </w:r>
      <w:r w:rsidRPr="00271ED9">
        <w:t>the Commission’s</w:t>
      </w:r>
      <w:r w:rsidR="0094574D">
        <w:t xml:space="preserve"> subsequent</w:t>
      </w:r>
      <w:r w:rsidRPr="00271ED9">
        <w:t xml:space="preserve"> holdings denying an MLP an income tax allowance.</w:t>
      </w:r>
      <w:r w:rsidR="0094574D">
        <w:rPr>
          <w:rStyle w:val="FootnoteReference"/>
        </w:rPr>
        <w:footnoteReference w:id="84"/>
      </w:r>
      <w:r w:rsidR="0094574D">
        <w:t xml:space="preserve">  </w:t>
      </w:r>
      <w:r w:rsidRPr="00271ED9">
        <w:t>Based upon page 700 data, the Commission will incorporate the effects of the post-</w:t>
      </w:r>
      <w:r w:rsidRPr="0094574D">
        <w:rPr>
          <w:i/>
        </w:rPr>
        <w:t>United Airlines’</w:t>
      </w:r>
      <w:r w:rsidRPr="00271ED9">
        <w:t xml:space="preserve"> policy changes (as well as the </w:t>
      </w:r>
      <w:r w:rsidRPr="00271ED9">
        <w:lastRenderedPageBreak/>
        <w:t>Tax Cuts and Jobs Act of 2017)</w:t>
      </w:r>
      <w:r w:rsidR="0094574D">
        <w:rPr>
          <w:rStyle w:val="FootnoteReference"/>
        </w:rPr>
        <w:footnoteReference w:id="85"/>
      </w:r>
      <w:r w:rsidRPr="00271ED9">
        <w:t xml:space="preserve"> on industry-wide oil pipeline costs in the 2020 five-year r</w:t>
      </w:r>
      <w:r w:rsidRPr="00E64AF5">
        <w:t>eview of the oil pipeline index level.</w:t>
      </w:r>
      <w:r w:rsidRPr="00E64AF5">
        <w:rPr>
          <w:rStyle w:val="FootnoteReference"/>
        </w:rPr>
        <w:footnoteReference w:id="86"/>
      </w:r>
      <w:r w:rsidR="00271ED9" w:rsidRPr="00E64AF5">
        <w:rPr>
          <w:b/>
        </w:rPr>
        <w:t xml:space="preserve"> </w:t>
      </w:r>
      <w:r w:rsidR="00E73391" w:rsidRPr="00E64AF5">
        <w:rPr>
          <w:b/>
        </w:rPr>
        <w:t xml:space="preserve"> </w:t>
      </w:r>
      <w:r w:rsidR="004D0590" w:rsidRPr="00E64AF5">
        <w:t xml:space="preserve">In this way the Commission will ensure that the </w:t>
      </w:r>
      <w:r w:rsidR="00700C3C" w:rsidRPr="00E64AF5">
        <w:t xml:space="preserve">industry-wide </w:t>
      </w:r>
      <w:r w:rsidR="004D0590" w:rsidRPr="00E64AF5">
        <w:t xml:space="preserve">reduced costs are </w:t>
      </w:r>
      <w:r w:rsidR="00700C3C" w:rsidRPr="00E64AF5">
        <w:t>incorporated on</w:t>
      </w:r>
      <w:r w:rsidR="004D0590" w:rsidRPr="00E64AF5">
        <w:t xml:space="preserve"> an industry-wide basis as part of the index review.  </w:t>
      </w:r>
      <w:r w:rsidR="00A37781" w:rsidRPr="00E64AF5">
        <w:t>T</w:t>
      </w:r>
      <w:r w:rsidR="00E73391" w:rsidRPr="00E64AF5">
        <w:t xml:space="preserve">o </w:t>
      </w:r>
      <w:r w:rsidR="00E73391">
        <w:t>the extent the Commission issues subsequent orders affecting the income tax policy for other partnership or pass-through business forms, oil pipelines should similarly reflect those policy changes on Form No. 6</w:t>
      </w:r>
      <w:r w:rsidR="00BD575A">
        <w:t>, page 700</w:t>
      </w:r>
      <w:r w:rsidR="00E73391">
        <w:t xml:space="preserve">. </w:t>
      </w:r>
      <w:r w:rsidR="00E73391" w:rsidRPr="004D0967">
        <w:t xml:space="preserve"> </w:t>
      </w:r>
    </w:p>
    <w:p w14:paraId="196D4C62" w14:textId="25784DC3" w:rsidR="00223BFE" w:rsidRPr="00A37781" w:rsidRDefault="00A37781" w:rsidP="00BD6378">
      <w:pPr>
        <w:pStyle w:val="FERCparanumber"/>
        <w:rPr>
          <w:b/>
          <w:u w:val="single"/>
        </w:rPr>
      </w:pPr>
      <w:r>
        <w:t>In addition, t</w:t>
      </w:r>
      <w:r w:rsidR="00E73391">
        <w:t>he Commission emphasizes that the</w:t>
      </w:r>
      <w:r w:rsidR="00E73391" w:rsidRPr="00271ED9">
        <w:t xml:space="preserve"> post-</w:t>
      </w:r>
      <w:r w:rsidR="00E73391" w:rsidRPr="00A37781">
        <w:rPr>
          <w:i/>
        </w:rPr>
        <w:t>United Airlines’</w:t>
      </w:r>
      <w:r w:rsidR="00E73391" w:rsidRPr="00271ED9">
        <w:t xml:space="preserve"> policy changes</w:t>
      </w:r>
      <w:r w:rsidR="00E73391">
        <w:t xml:space="preserve"> </w:t>
      </w:r>
      <w:r w:rsidR="00E73391" w:rsidRPr="00271ED9">
        <w:t>(as well as the Tax Cuts and Jobs Act of 2017)</w:t>
      </w:r>
      <w:r w:rsidR="00E73391">
        <w:t xml:space="preserve"> will be reflected in </w:t>
      </w:r>
      <w:r w:rsidR="00A56486">
        <w:t xml:space="preserve">initial </w:t>
      </w:r>
      <w:r w:rsidR="00E73391">
        <w:t xml:space="preserve">oil </w:t>
      </w:r>
      <w:r w:rsidR="003067CC">
        <w:t xml:space="preserve">and </w:t>
      </w:r>
      <w:r w:rsidR="00AC2684">
        <w:br/>
      </w:r>
      <w:r w:rsidR="003067CC">
        <w:t xml:space="preserve">gas </w:t>
      </w:r>
      <w:r w:rsidR="00E73391">
        <w:t xml:space="preserve">pipeline </w:t>
      </w:r>
      <w:r w:rsidR="00A56486">
        <w:t>cost-of-service rates</w:t>
      </w:r>
      <w:r w:rsidR="00E73391">
        <w:t xml:space="preserve"> </w:t>
      </w:r>
      <w:r w:rsidR="00A56486">
        <w:t xml:space="preserve">and cost-of-service rate changes </w:t>
      </w:r>
      <w:r w:rsidR="00E73391">
        <w:t>on a going-forward basis</w:t>
      </w:r>
      <w:r w:rsidR="00886649">
        <w:t xml:space="preserve"> under the Commission’s </w:t>
      </w:r>
      <w:r w:rsidR="00A56486">
        <w:t xml:space="preserve">existing </w:t>
      </w:r>
      <w:r w:rsidR="00886649">
        <w:t>ratemaking policies</w:t>
      </w:r>
      <w:r w:rsidR="00E73391">
        <w:t>,</w:t>
      </w:r>
      <w:r w:rsidR="00886649">
        <w:rPr>
          <w:rStyle w:val="FootnoteReference"/>
        </w:rPr>
        <w:footnoteReference w:id="87"/>
      </w:r>
      <w:r w:rsidR="00E73391">
        <w:t xml:space="preserve"> including cost-of-service rate </w:t>
      </w:r>
      <w:r w:rsidR="00A56486">
        <w:t>proceedings</w:t>
      </w:r>
      <w:r w:rsidR="00E73391">
        <w:t xml:space="preserve"> </w:t>
      </w:r>
      <w:r w:rsidR="00886649">
        <w:t>resulting from shipper-initiated complaints.</w:t>
      </w:r>
    </w:p>
    <w:p w14:paraId="2D495353" w14:textId="099B8BB2" w:rsidR="00CA775F" w:rsidRDefault="00CA775F" w:rsidP="004A41AD">
      <w:pPr>
        <w:pStyle w:val="Heading1"/>
      </w:pPr>
      <w:r>
        <w:t>Document Availability</w:t>
      </w:r>
    </w:p>
    <w:p w14:paraId="710E575D" w14:textId="7387FC2F" w:rsidR="00CA775F" w:rsidRDefault="006C2516" w:rsidP="004A41AD">
      <w:pPr>
        <w:spacing w:line="480" w:lineRule="auto"/>
      </w:pPr>
      <w:r>
        <w:t>47</w:t>
      </w:r>
      <w:r w:rsidR="00CA775F">
        <w:t>.</w:t>
      </w:r>
      <w:r w:rsidR="00CA775F">
        <w:tab/>
        <w:t xml:space="preserve">In addition to publishing the full text of this document in the Federal Register, the Commission provides all interested persons an opportunity to view and/or print the contents of this document via the Internet through FERC’s Home Page (http://www.ferc.gov) and </w:t>
      </w:r>
      <w:r w:rsidR="00AC2684">
        <w:br/>
      </w:r>
      <w:r w:rsidR="00CA775F">
        <w:t>in FERC’s Public Reference Room during normal business hours (8:30 a.m. to 5:00 p.m. Eastern time) at 888 First Street, NE, Room 2A, Washington, DC 20426.</w:t>
      </w:r>
    </w:p>
    <w:p w14:paraId="4E3A7E2D" w14:textId="5C34EA2A" w:rsidR="00CA775F" w:rsidRDefault="006C2516" w:rsidP="004A41AD">
      <w:pPr>
        <w:spacing w:line="480" w:lineRule="auto"/>
      </w:pPr>
      <w:r>
        <w:lastRenderedPageBreak/>
        <w:t>48</w:t>
      </w:r>
      <w:r w:rsidR="00CA775F">
        <w:t>.</w:t>
      </w:r>
      <w:r w:rsidR="00CA775F">
        <w:tab/>
        <w:t>From FERC’s Home Page on the Internet, this information is available on eLibrary.  The full text of this document is available on eLibrary in PDF and Microsoft Word format for viewing, printing, and/or downloading.  To access this document in eLibrary, type the docket number excluding the last three digits of this document in the docket number field.</w:t>
      </w:r>
    </w:p>
    <w:p w14:paraId="350753B3" w14:textId="20364415" w:rsidR="005F49D4" w:rsidRDefault="006C2516" w:rsidP="004A41AD">
      <w:pPr>
        <w:spacing w:line="480" w:lineRule="auto"/>
      </w:pPr>
      <w:r>
        <w:t>49</w:t>
      </w:r>
      <w:r w:rsidR="00CA775F">
        <w:t>.</w:t>
      </w:r>
      <w:r w:rsidR="00CA775F">
        <w:tab/>
        <w:t xml:space="preserve">User assistance is available for eLibrary and the FERC’s website during normal business hours from FERC Online Support at 202-502-6652 (toll free at 1-866-208-3676) or email at ferconlinesupport@ferc.gov, or the Public Reference Room at (202) 502-8371, TTY (202) 502-8659.  E-mail the Public Reference Room at </w:t>
      </w:r>
      <w:r w:rsidR="00CA775F" w:rsidRPr="00E75657">
        <w:t>public.referenceroom@ferc.gov</w:t>
      </w:r>
      <w:r w:rsidR="00CA775F">
        <w:t>.</w:t>
      </w:r>
    </w:p>
    <w:p w14:paraId="7522BB36" w14:textId="77777777" w:rsidR="00CA775F" w:rsidRPr="0082190B" w:rsidRDefault="00CA775F" w:rsidP="004A41AD">
      <w:pPr>
        <w:spacing w:line="480" w:lineRule="auto"/>
        <w:rPr>
          <w:b/>
        </w:rPr>
      </w:pPr>
      <w:r w:rsidRPr="0082190B">
        <w:rPr>
          <w:b/>
        </w:rPr>
        <w:t>IV.</w:t>
      </w:r>
      <w:r w:rsidRPr="0082190B">
        <w:rPr>
          <w:b/>
        </w:rPr>
        <w:tab/>
        <w:t>Effective Date</w:t>
      </w:r>
    </w:p>
    <w:p w14:paraId="507507DE" w14:textId="2CAC8623" w:rsidR="00CA775F" w:rsidRDefault="006C2516" w:rsidP="004A41AD">
      <w:pPr>
        <w:spacing w:line="480" w:lineRule="auto"/>
      </w:pPr>
      <w:r>
        <w:t>50</w:t>
      </w:r>
      <w:r w:rsidR="00D6031A">
        <w:t>.</w:t>
      </w:r>
      <w:r w:rsidR="00D6031A">
        <w:tab/>
        <w:t>This</w:t>
      </w:r>
      <w:r>
        <w:t xml:space="preserve"> Revised</w:t>
      </w:r>
      <w:r w:rsidR="00D6031A">
        <w:t xml:space="preserve"> Policy S</w:t>
      </w:r>
      <w:r w:rsidR="00CA775F">
        <w:t xml:space="preserve">tatement will become effective [date of publication in the </w:t>
      </w:r>
      <w:r w:rsidR="00CA775F" w:rsidRPr="0082190B">
        <w:rPr>
          <w:i/>
        </w:rPr>
        <w:t>Federal Register</w:t>
      </w:r>
      <w:r w:rsidR="00CA775F">
        <w:t>].</w:t>
      </w:r>
    </w:p>
    <w:p w14:paraId="1F93E48C" w14:textId="44BA5521" w:rsidR="00104E9B" w:rsidRDefault="005F49D4" w:rsidP="00CA775F">
      <w:r>
        <w:t>By the Commission.</w:t>
      </w:r>
    </w:p>
    <w:p w14:paraId="640591E1" w14:textId="77777777" w:rsidR="005F49D4" w:rsidRDefault="005F49D4" w:rsidP="00CA775F"/>
    <w:p w14:paraId="3B60BE83" w14:textId="136A6187" w:rsidR="005F49D4" w:rsidRDefault="005F49D4" w:rsidP="005F49D4">
      <w:pPr>
        <w:widowControl/>
      </w:pPr>
      <w:r w:rsidRPr="005F49D4">
        <w:t>( S E A L )</w:t>
      </w:r>
    </w:p>
    <w:p w14:paraId="732C2B97" w14:textId="00913EDD" w:rsidR="005F49D4" w:rsidRDefault="005F49D4" w:rsidP="005F49D4">
      <w:pPr>
        <w:widowControl/>
      </w:pPr>
    </w:p>
    <w:p w14:paraId="5F255343" w14:textId="35F82D46" w:rsidR="005F49D4" w:rsidRDefault="005F49D4" w:rsidP="005F49D4">
      <w:pPr>
        <w:widowControl/>
      </w:pPr>
    </w:p>
    <w:p w14:paraId="0CEDA602" w14:textId="14064A75" w:rsidR="005F49D4" w:rsidRDefault="005F49D4" w:rsidP="005F49D4">
      <w:pPr>
        <w:widowControl/>
      </w:pPr>
    </w:p>
    <w:p w14:paraId="50633907" w14:textId="098FA92C" w:rsidR="005F49D4" w:rsidRDefault="005F49D4" w:rsidP="005F49D4">
      <w:pPr>
        <w:widowControl/>
      </w:pPr>
    </w:p>
    <w:p w14:paraId="6759B87A" w14:textId="11ECF13D" w:rsidR="005F49D4" w:rsidRPr="005F49D4" w:rsidRDefault="005F49D4" w:rsidP="005F49D4">
      <w:pPr>
        <w:widowControl/>
        <w:ind w:firstLine="2606"/>
        <w:jc w:val="center"/>
      </w:pPr>
      <w:r w:rsidRPr="005F49D4">
        <w:t>Nathaniel J. Davis, Sr.,</w:t>
      </w:r>
    </w:p>
    <w:p w14:paraId="3FFF79D3" w14:textId="49EF744C" w:rsidR="005F49D4" w:rsidRPr="005F49D4" w:rsidRDefault="005F49D4" w:rsidP="005F49D4">
      <w:pPr>
        <w:widowControl/>
        <w:ind w:firstLine="2606"/>
        <w:jc w:val="center"/>
      </w:pPr>
      <w:r w:rsidRPr="005F49D4">
        <w:t>Deputy Secretary.</w:t>
      </w:r>
    </w:p>
    <w:p w14:paraId="3586DD84" w14:textId="77777777" w:rsidR="005F49D4" w:rsidRPr="005F49D4" w:rsidRDefault="005F49D4" w:rsidP="005F49D4">
      <w:pPr>
        <w:widowControl/>
      </w:pPr>
    </w:p>
    <w:p w14:paraId="25E1EF46" w14:textId="77777777" w:rsidR="000E740C" w:rsidRPr="00157644" w:rsidRDefault="000E740C" w:rsidP="000E740C">
      <w:pPr>
        <w:widowControl/>
      </w:pPr>
    </w:p>
    <w:sectPr w:rsidR="000E740C" w:rsidRPr="00157644" w:rsidSect="00D0045D">
      <w:pgSz w:w="12240" w:h="15840"/>
      <w:pgMar w:top="1296" w:right="1296" w:bottom="1296" w:left="1296" w:header="720" w:footer="1440" w:gutter="0"/>
      <w:pgNumType w:fmt="numberInDash" w:start="1"/>
      <w:cols w:space="720"/>
      <w:noEndnote/>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053EB" w14:textId="77777777" w:rsidR="007574FF" w:rsidRDefault="007574FF">
      <w:r>
        <w:separator/>
      </w:r>
    </w:p>
  </w:endnote>
  <w:endnote w:type="continuationSeparator" w:id="0">
    <w:p w14:paraId="49A90B60" w14:textId="77777777" w:rsidR="007574FF" w:rsidRDefault="007574FF">
      <w:r>
        <w:continuationSeparator/>
      </w:r>
    </w:p>
  </w:endnote>
  <w:endnote w:type="continuationNotice" w:id="1">
    <w:p w14:paraId="58EA14D6" w14:textId="77777777" w:rsidR="007574FF" w:rsidRDefault="007574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D3064" w14:textId="77777777" w:rsidR="007574FF" w:rsidRDefault="007574FF">
      <w:r>
        <w:separator/>
      </w:r>
    </w:p>
  </w:footnote>
  <w:footnote w:type="continuationSeparator" w:id="0">
    <w:p w14:paraId="3D9ACE43" w14:textId="77777777" w:rsidR="007574FF" w:rsidRDefault="007574FF">
      <w:r>
        <w:continuationSeparator/>
      </w:r>
    </w:p>
  </w:footnote>
  <w:footnote w:type="continuationNotice" w:id="1">
    <w:p w14:paraId="332EC4C3" w14:textId="77777777" w:rsidR="007574FF" w:rsidRPr="003D527E" w:rsidRDefault="007574FF" w:rsidP="003D527E">
      <w:pPr>
        <w:pStyle w:val="Footer"/>
      </w:pPr>
      <w:r w:rsidRPr="004D0967">
        <w:rPr>
          <w:i/>
        </w:rPr>
        <w:t>(continued ...)</w:t>
      </w:r>
    </w:p>
  </w:footnote>
  <w:footnote w:id="2">
    <w:p w14:paraId="31327C34" w14:textId="77777777" w:rsidR="00736C51" w:rsidRDefault="00736C51" w:rsidP="00223BFE">
      <w:pPr>
        <w:widowControl/>
        <w:ind w:firstLine="720"/>
        <w:rPr>
          <w:szCs w:val="26"/>
        </w:rPr>
      </w:pPr>
      <w:r>
        <w:rPr>
          <w:rStyle w:val="FootnoteReference"/>
        </w:rPr>
        <w:footnoteRef/>
      </w:r>
      <w:r>
        <w:t xml:space="preserve"> </w:t>
      </w:r>
      <w:r>
        <w:rPr>
          <w:i/>
          <w:iCs/>
          <w:szCs w:val="26"/>
        </w:rPr>
        <w:t>Inquiry Regarding the Commission’s Policy for Recovery of Income Tax Costs</w:t>
      </w:r>
      <w:r>
        <w:rPr>
          <w:szCs w:val="26"/>
        </w:rPr>
        <w:t>,</w:t>
      </w:r>
    </w:p>
    <w:p w14:paraId="78D3A244" w14:textId="77777777" w:rsidR="00736C51" w:rsidRDefault="00736C51" w:rsidP="00223BFE">
      <w:pPr>
        <w:pStyle w:val="FootnoteText"/>
        <w:ind w:firstLine="0"/>
      </w:pPr>
      <w:r>
        <w:rPr>
          <w:szCs w:val="26"/>
        </w:rPr>
        <w:t>157 FERC ¶ 61,210 (2016) (NOI).</w:t>
      </w:r>
    </w:p>
  </w:footnote>
  <w:footnote w:id="3">
    <w:p w14:paraId="6A050EF3" w14:textId="77777777" w:rsidR="00736C51" w:rsidRDefault="00736C51" w:rsidP="00223BFE">
      <w:pPr>
        <w:pStyle w:val="FootnoteText"/>
      </w:pPr>
      <w:r>
        <w:rPr>
          <w:rStyle w:val="FootnoteReference"/>
        </w:rPr>
        <w:footnoteRef/>
      </w:r>
      <w:r>
        <w:t xml:space="preserve"> </w:t>
      </w:r>
      <w:r w:rsidRPr="00481DD8">
        <w:rPr>
          <w:i/>
          <w:szCs w:val="26"/>
        </w:rPr>
        <w:t>United Airlines</w:t>
      </w:r>
      <w:r>
        <w:rPr>
          <w:i/>
          <w:szCs w:val="26"/>
        </w:rPr>
        <w:t>,</w:t>
      </w:r>
      <w:r w:rsidRPr="00481DD8">
        <w:rPr>
          <w:i/>
          <w:szCs w:val="26"/>
        </w:rPr>
        <w:t xml:space="preserve"> Inc., v. </w:t>
      </w:r>
      <w:r>
        <w:rPr>
          <w:i/>
          <w:szCs w:val="26"/>
        </w:rPr>
        <w:t>FERC</w:t>
      </w:r>
      <w:r>
        <w:rPr>
          <w:szCs w:val="26"/>
        </w:rPr>
        <w:t xml:space="preserve">, 827 F.3d 122, 134, 136 (D.C. Cir. </w:t>
      </w:r>
      <w:r w:rsidRPr="00481DD8">
        <w:rPr>
          <w:szCs w:val="26"/>
        </w:rPr>
        <w:t>2016)</w:t>
      </w:r>
      <w:r>
        <w:rPr>
          <w:szCs w:val="26"/>
        </w:rPr>
        <w:t xml:space="preserve"> (</w:t>
      </w:r>
      <w:r w:rsidRPr="00733EC0">
        <w:rPr>
          <w:i/>
          <w:szCs w:val="26"/>
        </w:rPr>
        <w:t>United Airlines</w:t>
      </w:r>
      <w:r>
        <w:rPr>
          <w:szCs w:val="26"/>
        </w:rPr>
        <w:t>)</w:t>
      </w:r>
      <w:r w:rsidRPr="00481DD8">
        <w:rPr>
          <w:szCs w:val="26"/>
        </w:rPr>
        <w:t>.</w:t>
      </w:r>
      <w:r>
        <w:rPr>
          <w:szCs w:val="26"/>
        </w:rPr>
        <w:t xml:space="preserve"> </w:t>
      </w:r>
    </w:p>
  </w:footnote>
  <w:footnote w:id="4">
    <w:p w14:paraId="5F1B710B" w14:textId="7AE778F6" w:rsidR="00736C51" w:rsidRPr="00170BED" w:rsidRDefault="00736C51" w:rsidP="00223BFE">
      <w:pPr>
        <w:spacing w:after="240"/>
        <w:ind w:firstLine="720"/>
        <w:rPr>
          <w:szCs w:val="26"/>
        </w:rPr>
      </w:pPr>
      <w:r>
        <w:rPr>
          <w:rStyle w:val="FootnoteReference"/>
        </w:rPr>
        <w:footnoteRef/>
      </w:r>
      <w:r>
        <w:t xml:space="preserve"> An MLP is a publicly traded partnership under the Internal Revenue Code that receives at least 90 percent of its income from certain qualifying sources, including gas and oil transportation.  </w:t>
      </w:r>
      <w:r>
        <w:rPr>
          <w:i/>
        </w:rPr>
        <w:t xml:space="preserve">See </w:t>
      </w:r>
      <w:r>
        <w:t xml:space="preserve">26 U.S.C. 7704; NOI, </w:t>
      </w:r>
      <w:r>
        <w:rPr>
          <w:szCs w:val="26"/>
        </w:rPr>
        <w:t xml:space="preserve">157 FERC ¶ 61,210 at PP 4-7. </w:t>
      </w:r>
      <w:r>
        <w:t xml:space="preserve"> At the time </w:t>
      </w:r>
      <w:r w:rsidR="005F49D4">
        <w:br/>
      </w:r>
      <w:r>
        <w:t xml:space="preserve">of SFPP’s rate filing, </w:t>
      </w:r>
      <w:r w:rsidRPr="00965163">
        <w:t>Kinder Morgan Energy Partners (KMEP)</w:t>
      </w:r>
      <w:r>
        <w:t xml:space="preserve">, an MLP, </w:t>
      </w:r>
      <w:r w:rsidRPr="00965163">
        <w:t xml:space="preserve">indirectly owned </w:t>
      </w:r>
      <w:r w:rsidR="005F49D4">
        <w:br/>
      </w:r>
      <w:r w:rsidRPr="00965163">
        <w:t>a 99 percent general partner interest in SFPP.</w:t>
      </w:r>
      <w:r>
        <w:t xml:space="preserve">  </w:t>
      </w:r>
      <w:r w:rsidRPr="006732DD">
        <w:rPr>
          <w:i/>
          <w:iCs/>
          <w:szCs w:val="26"/>
        </w:rPr>
        <w:t>SFPP, L.P.</w:t>
      </w:r>
      <w:r w:rsidRPr="00EE7ED6">
        <w:rPr>
          <w:szCs w:val="26"/>
        </w:rPr>
        <w:t>,</w:t>
      </w:r>
      <w:r w:rsidRPr="006732DD">
        <w:rPr>
          <w:b/>
          <w:bCs/>
          <w:szCs w:val="26"/>
        </w:rPr>
        <w:t xml:space="preserve"> </w:t>
      </w:r>
      <w:r w:rsidRPr="00EE7ED6">
        <w:rPr>
          <w:szCs w:val="26"/>
        </w:rPr>
        <w:t xml:space="preserve">Opinion No. 511, 134 FERC </w:t>
      </w:r>
      <w:r w:rsidR="005F49D4">
        <w:rPr>
          <w:szCs w:val="26"/>
        </w:rPr>
        <w:br/>
      </w:r>
      <w:r w:rsidRPr="00EE7ED6">
        <w:rPr>
          <w:szCs w:val="26"/>
        </w:rPr>
        <w:t>¶ 61,121</w:t>
      </w:r>
      <w:r>
        <w:rPr>
          <w:szCs w:val="26"/>
        </w:rPr>
        <w:t xml:space="preserve">, at P 74 (2011). </w:t>
      </w:r>
    </w:p>
  </w:footnote>
  <w:footnote w:id="5">
    <w:p w14:paraId="3602CA6F" w14:textId="072616FC" w:rsidR="00736C51" w:rsidRDefault="00736C51" w:rsidP="006C2516">
      <w:pPr>
        <w:pStyle w:val="FootnoteText"/>
      </w:pPr>
      <w:r>
        <w:rPr>
          <w:rStyle w:val="FootnoteReference"/>
        </w:rPr>
        <w:footnoteRef/>
      </w:r>
      <w:r>
        <w:t xml:space="preserve"> </w:t>
      </w:r>
      <w:r w:rsidR="003B2D78">
        <w:rPr>
          <w:i/>
          <w:iCs/>
          <w:szCs w:val="26"/>
        </w:rPr>
        <w:t>Policy Statement on</w:t>
      </w:r>
      <w:r w:rsidR="003B2D78" w:rsidRPr="006732DD">
        <w:rPr>
          <w:i/>
          <w:iCs/>
          <w:szCs w:val="26"/>
        </w:rPr>
        <w:t xml:space="preserve"> Income</w:t>
      </w:r>
      <w:r w:rsidRPr="006732DD">
        <w:rPr>
          <w:i/>
          <w:iCs/>
          <w:szCs w:val="26"/>
        </w:rPr>
        <w:t xml:space="preserve"> Tax Allowances</w:t>
      </w:r>
      <w:r>
        <w:rPr>
          <w:szCs w:val="26"/>
        </w:rPr>
        <w:t xml:space="preserve">, 111 FERC ¶ 61,139 (2005) (2005 Income Tax Policy Statement).  </w:t>
      </w:r>
    </w:p>
  </w:footnote>
  <w:footnote w:id="6">
    <w:p w14:paraId="3ACC9AFF" w14:textId="15FE322C" w:rsidR="00736C51" w:rsidRPr="00965664" w:rsidRDefault="00736C51" w:rsidP="00223BFE">
      <w:pPr>
        <w:pStyle w:val="FootnoteText"/>
        <w:rPr>
          <w:b/>
        </w:rPr>
      </w:pPr>
      <w:r>
        <w:rPr>
          <w:rStyle w:val="FootnoteReference"/>
        </w:rPr>
        <w:footnoteRef/>
      </w:r>
      <w:r>
        <w:t xml:space="preserve"> SFPP, L.P., Opinion No. 511-C, </w:t>
      </w:r>
      <w:r w:rsidR="003B2D78" w:rsidRPr="003B2D78">
        <w:t>162</w:t>
      </w:r>
      <w:r>
        <w:t xml:space="preserve"> FERC </w:t>
      </w:r>
      <w:r w:rsidRPr="003B2D78">
        <w:rPr>
          <w:szCs w:val="26"/>
        </w:rPr>
        <w:t>¶</w:t>
      </w:r>
      <w:r w:rsidRPr="003B2D78">
        <w:rPr>
          <w:b/>
        </w:rPr>
        <w:t xml:space="preserve"> </w:t>
      </w:r>
      <w:r w:rsidR="003B2D78" w:rsidRPr="003B2D78">
        <w:t>61,228</w:t>
      </w:r>
      <w:r w:rsidRPr="003B2D78">
        <w:t xml:space="preserve"> (2018) (Remand Order).</w:t>
      </w:r>
    </w:p>
  </w:footnote>
  <w:footnote w:id="7">
    <w:p w14:paraId="566306F8" w14:textId="54724216" w:rsidR="00736C51" w:rsidRPr="00763BF9" w:rsidRDefault="00736C51" w:rsidP="00223BFE">
      <w:pPr>
        <w:pStyle w:val="FootnoteText"/>
        <w:rPr>
          <w:szCs w:val="26"/>
        </w:rPr>
      </w:pPr>
      <w:r w:rsidRPr="006732DD">
        <w:rPr>
          <w:rStyle w:val="FootnoteReference"/>
          <w:bCs/>
        </w:rPr>
        <w:footnoteRef/>
      </w:r>
      <w:r w:rsidRPr="006732DD">
        <w:rPr>
          <w:b/>
          <w:bCs/>
          <w:szCs w:val="26"/>
        </w:rPr>
        <w:t xml:space="preserve"> </w:t>
      </w:r>
      <w:r w:rsidRPr="00025A61">
        <w:rPr>
          <w:bCs/>
          <w:szCs w:val="26"/>
        </w:rPr>
        <w:t xml:space="preserve">2005 Income Tax Policy Statement, </w:t>
      </w:r>
      <w:r>
        <w:rPr>
          <w:szCs w:val="26"/>
        </w:rPr>
        <w:t xml:space="preserve">111 FERC ¶ 61,139.  </w:t>
      </w:r>
      <w:r w:rsidRPr="009C6351">
        <w:rPr>
          <w:szCs w:val="26"/>
        </w:rPr>
        <w:t>The Commission</w:t>
      </w:r>
      <w:r>
        <w:rPr>
          <w:szCs w:val="26"/>
        </w:rPr>
        <w:t>’s policy</w:t>
      </w:r>
      <w:r w:rsidRPr="009C6351">
        <w:rPr>
          <w:szCs w:val="26"/>
        </w:rPr>
        <w:t xml:space="preserve"> permits an income tax allowance, provided that the owners can show an actual or potential income tax liability to be paid on income from the regulated assets. </w:t>
      </w:r>
      <w:r>
        <w:rPr>
          <w:szCs w:val="26"/>
        </w:rPr>
        <w:t xml:space="preserve"> </w:t>
      </w:r>
    </w:p>
  </w:footnote>
  <w:footnote w:id="8">
    <w:p w14:paraId="300F4C3C" w14:textId="77777777" w:rsidR="00736C51" w:rsidRDefault="00736C51" w:rsidP="00223BFE">
      <w:pPr>
        <w:pStyle w:val="FootnoteText"/>
      </w:pPr>
      <w:r>
        <w:rPr>
          <w:rStyle w:val="FootnoteReference"/>
        </w:rPr>
        <w:footnoteRef/>
      </w:r>
      <w:r>
        <w:t xml:space="preserve"> </w:t>
      </w:r>
      <w:r>
        <w:rPr>
          <w:i/>
        </w:rPr>
        <w:t>Id</w:t>
      </w:r>
      <w:r w:rsidRPr="00A81747">
        <w:rPr>
          <w:szCs w:val="26"/>
        </w:rPr>
        <w:t xml:space="preserve">.  </w:t>
      </w:r>
    </w:p>
  </w:footnote>
  <w:footnote w:id="9">
    <w:p w14:paraId="55EC621A" w14:textId="6B05EC8F" w:rsidR="00736C51" w:rsidRPr="000C52A3" w:rsidRDefault="00736C51" w:rsidP="00223BFE">
      <w:pPr>
        <w:spacing w:after="240"/>
        <w:ind w:firstLine="720"/>
      </w:pPr>
      <w:r w:rsidRPr="006732DD">
        <w:rPr>
          <w:rStyle w:val="FootnoteReference"/>
          <w:bCs/>
        </w:rPr>
        <w:footnoteRef/>
      </w:r>
      <w:r w:rsidRPr="006732DD">
        <w:rPr>
          <w:b/>
          <w:bCs/>
        </w:rPr>
        <w:t xml:space="preserve"> </w:t>
      </w:r>
      <w:r w:rsidRPr="006732DD">
        <w:rPr>
          <w:i/>
          <w:iCs/>
        </w:rPr>
        <w:t>United Airlines</w:t>
      </w:r>
      <w:r w:rsidRPr="006732DD">
        <w:t>, 827 F.3d</w:t>
      </w:r>
      <w:r w:rsidRPr="006732DD">
        <w:rPr>
          <w:i/>
          <w:iCs/>
        </w:rPr>
        <w:t xml:space="preserve"> </w:t>
      </w:r>
      <w:r w:rsidRPr="006732DD">
        <w:t xml:space="preserve">at 136; </w:t>
      </w:r>
      <w:r w:rsidRPr="00D145B8">
        <w:rPr>
          <w:i/>
        </w:rPr>
        <w:t>Coakley v. Bangor Hydro-Electric Co.</w:t>
      </w:r>
      <w:r w:rsidRPr="00D145B8">
        <w:t>, Opinion No. 531, 147 FERC ¶ 61,234, at P 14 (2014).</w:t>
      </w:r>
      <w:r w:rsidRPr="006732DD">
        <w:t xml:space="preserve">  The Supreme Court has stated that “the </w:t>
      </w:r>
      <w:r w:rsidR="00E85678">
        <w:br/>
      </w:r>
      <w:r w:rsidRPr="006732DD">
        <w:t xml:space="preserve">return to the equity owner should be commensurate with the return on investments in other enterprises having corresponding risks.  That return, moreover, should be sufficient to assure confidence in the financial integrity of the enterprise, so as to maintain its credit and to attract capital.”  </w:t>
      </w:r>
      <w:r w:rsidRPr="00197820">
        <w:rPr>
          <w:rStyle w:val="Emphasis"/>
        </w:rPr>
        <w:t>FPC v. Hope Natural Gas Co</w:t>
      </w:r>
      <w:r w:rsidRPr="00197820">
        <w:t>., 320 U.S. 591 (1944); </w:t>
      </w:r>
      <w:r w:rsidRPr="00197820">
        <w:rPr>
          <w:rStyle w:val="Emphasis"/>
        </w:rPr>
        <w:t>Bluefield Water Works &amp; Improvement Co. v. Public Service Comm'n</w:t>
      </w:r>
      <w:r w:rsidRPr="000C52A3">
        <w:t>, 262 U.S. 679 (1923).</w:t>
      </w:r>
    </w:p>
  </w:footnote>
  <w:footnote w:id="10">
    <w:p w14:paraId="687C6426" w14:textId="5D510B5B" w:rsidR="00736C51" w:rsidRPr="00CF7199" w:rsidRDefault="00736C51" w:rsidP="00223BFE">
      <w:pPr>
        <w:pStyle w:val="FootnoteText"/>
        <w:spacing w:after="240"/>
        <w:rPr>
          <w:szCs w:val="26"/>
        </w:rPr>
      </w:pPr>
      <w:r w:rsidRPr="000C52A3">
        <w:rPr>
          <w:rStyle w:val="FootnoteReference"/>
          <w:bCs/>
        </w:rPr>
        <w:footnoteRef/>
      </w:r>
      <w:r w:rsidRPr="00CF7199">
        <w:rPr>
          <w:szCs w:val="26"/>
        </w:rPr>
        <w:t xml:space="preserve"> </w:t>
      </w:r>
      <w:r>
        <w:rPr>
          <w:szCs w:val="26"/>
        </w:rPr>
        <w:t xml:space="preserve">Where </w:t>
      </w:r>
      <w:r w:rsidRPr="00CF7199">
        <w:rPr>
          <w:szCs w:val="26"/>
        </w:rPr>
        <w:t>P is the price of the stock</w:t>
      </w:r>
      <w:r>
        <w:rPr>
          <w:szCs w:val="26"/>
        </w:rPr>
        <w:t xml:space="preserve"> </w:t>
      </w:r>
      <w:r w:rsidRPr="00CF7199">
        <w:rPr>
          <w:szCs w:val="26"/>
        </w:rPr>
        <w:t xml:space="preserve">at the relevant time, D is the current dividend, </w:t>
      </w:r>
      <w:r w:rsidR="00E85678">
        <w:rPr>
          <w:szCs w:val="26"/>
        </w:rPr>
        <w:br/>
      </w:r>
      <w:r w:rsidRPr="00CF7199">
        <w:rPr>
          <w:szCs w:val="26"/>
        </w:rPr>
        <w:t xml:space="preserve">k is the investors’ required rate of return, and g is the expected growth rate in dividends. </w:t>
      </w:r>
      <w:r w:rsidRPr="002E5BA1">
        <w:rPr>
          <w:szCs w:val="26"/>
        </w:rPr>
        <w:t xml:space="preserve"> </w:t>
      </w:r>
      <w:r>
        <w:rPr>
          <w:szCs w:val="26"/>
        </w:rPr>
        <w:t>When a regulated entity is a wholly owned subsidiary and not publicly-traded, t</w:t>
      </w:r>
      <w:r w:rsidRPr="00CF7199">
        <w:rPr>
          <w:szCs w:val="26"/>
        </w:rPr>
        <w:t>he Commission applies th</w:t>
      </w:r>
      <w:r>
        <w:rPr>
          <w:szCs w:val="26"/>
        </w:rPr>
        <w:t>e DCF</w:t>
      </w:r>
      <w:r w:rsidRPr="000D1896">
        <w:rPr>
          <w:szCs w:val="26"/>
        </w:rPr>
        <w:t xml:space="preserve"> formula to other publicly</w:t>
      </w:r>
      <w:r>
        <w:rPr>
          <w:szCs w:val="26"/>
        </w:rPr>
        <w:t>-</w:t>
      </w:r>
      <w:r w:rsidRPr="000D1896">
        <w:rPr>
          <w:szCs w:val="26"/>
        </w:rPr>
        <w:t>traded entities</w:t>
      </w:r>
      <w:r w:rsidRPr="00CF7199">
        <w:rPr>
          <w:szCs w:val="26"/>
        </w:rPr>
        <w:t xml:space="preserve"> in a proxy group, and</w:t>
      </w:r>
      <w:r>
        <w:rPr>
          <w:szCs w:val="26"/>
        </w:rPr>
        <w:t>,</w:t>
      </w:r>
      <w:r w:rsidRPr="00CF7199">
        <w:rPr>
          <w:szCs w:val="26"/>
        </w:rPr>
        <w:t xml:space="preserve"> based typically upon the median of the range of returns in the proxy group, the Commission determines the regulated entity’s allowed ROE</w:t>
      </w:r>
      <w:r>
        <w:rPr>
          <w:szCs w:val="26"/>
        </w:rPr>
        <w:t>.</w:t>
      </w:r>
      <w:r w:rsidRPr="00CF7199">
        <w:rPr>
          <w:szCs w:val="26"/>
        </w:rPr>
        <w:t xml:space="preserve">  </w:t>
      </w:r>
      <w:r w:rsidRPr="002E5BA1">
        <w:rPr>
          <w:szCs w:val="26"/>
        </w:rPr>
        <w:t xml:space="preserve">  </w:t>
      </w:r>
    </w:p>
  </w:footnote>
  <w:footnote w:id="11">
    <w:p w14:paraId="071AE471" w14:textId="77777777" w:rsidR="00736C51" w:rsidRDefault="00736C51" w:rsidP="00223BFE">
      <w:pPr>
        <w:pStyle w:val="FootnoteText"/>
      </w:pPr>
      <w:r>
        <w:rPr>
          <w:rStyle w:val="FootnoteReference"/>
        </w:rPr>
        <w:footnoteRef/>
      </w:r>
      <w:r>
        <w:t xml:space="preserve"> </w:t>
      </w:r>
      <w:r w:rsidRPr="00306B3F">
        <w:rPr>
          <w:i/>
        </w:rPr>
        <w:t>Composition of Proxy Groups for Determining Gas and Oil Pipeline Return on Equity</w:t>
      </w:r>
      <w:r>
        <w:t>, 123 FERC ¶ 61,048, at P 6 (2008) (Proxy Group Policy Statement).</w:t>
      </w:r>
    </w:p>
  </w:footnote>
  <w:footnote w:id="12">
    <w:p w14:paraId="2DBA8656" w14:textId="53D7875E" w:rsidR="00736C51" w:rsidRPr="00763BF9" w:rsidRDefault="00736C51" w:rsidP="00223BFE">
      <w:pPr>
        <w:pStyle w:val="FootnoteText"/>
        <w:rPr>
          <w:szCs w:val="26"/>
        </w:rPr>
      </w:pPr>
      <w:r w:rsidRPr="006732DD">
        <w:rPr>
          <w:rStyle w:val="FootnoteReference"/>
          <w:bCs/>
        </w:rPr>
        <w:footnoteRef/>
      </w:r>
      <w:r w:rsidRPr="006732DD">
        <w:rPr>
          <w:b/>
          <w:bCs/>
          <w:szCs w:val="26"/>
        </w:rPr>
        <w:t xml:space="preserve"> </w:t>
      </w:r>
      <w:r w:rsidRPr="00EE7ED6">
        <w:rPr>
          <w:szCs w:val="26"/>
        </w:rPr>
        <w:t xml:space="preserve">Opinion No. 511, 134 FERC ¶ 61,121, </w:t>
      </w:r>
      <w:r w:rsidRPr="006732DD">
        <w:rPr>
          <w:i/>
          <w:iCs/>
          <w:szCs w:val="26"/>
        </w:rPr>
        <w:t>order on reh’g</w:t>
      </w:r>
      <w:r>
        <w:rPr>
          <w:szCs w:val="26"/>
        </w:rPr>
        <w:t xml:space="preserve">, Opinion No. 511-A, </w:t>
      </w:r>
      <w:r w:rsidR="003B2D78">
        <w:rPr>
          <w:szCs w:val="26"/>
        </w:rPr>
        <w:br/>
      </w:r>
      <w:r w:rsidRPr="00EE7ED6">
        <w:rPr>
          <w:szCs w:val="26"/>
        </w:rPr>
        <w:t xml:space="preserve">137 FERC ¶ 61,220 (2011), </w:t>
      </w:r>
      <w:r w:rsidRPr="006732DD">
        <w:rPr>
          <w:i/>
          <w:iCs/>
          <w:szCs w:val="26"/>
        </w:rPr>
        <w:t>order on reh’g</w:t>
      </w:r>
      <w:r w:rsidRPr="00EE7ED6">
        <w:rPr>
          <w:szCs w:val="26"/>
        </w:rPr>
        <w:t>, Opinion No. 511-B, 150 FERC ¶ 61,096 (2015).</w:t>
      </w:r>
    </w:p>
  </w:footnote>
  <w:footnote w:id="13">
    <w:p w14:paraId="67C06F6D" w14:textId="207EC065" w:rsidR="00736C51" w:rsidRDefault="00736C51" w:rsidP="00223BFE">
      <w:pPr>
        <w:keepNext/>
        <w:ind w:firstLine="720"/>
        <w:rPr>
          <w:szCs w:val="26"/>
        </w:rPr>
      </w:pPr>
      <w:r w:rsidRPr="006732DD">
        <w:rPr>
          <w:rStyle w:val="FootnoteReference"/>
          <w:bCs/>
        </w:rPr>
        <w:footnoteRef/>
      </w:r>
      <w:r w:rsidRPr="006732DD">
        <w:rPr>
          <w:b/>
          <w:bCs/>
        </w:rPr>
        <w:t xml:space="preserve"> </w:t>
      </w:r>
      <w:r w:rsidRPr="006732DD">
        <w:rPr>
          <w:i/>
          <w:iCs/>
        </w:rPr>
        <w:t xml:space="preserve">United Airlines </w:t>
      </w:r>
      <w:r w:rsidRPr="006732DD">
        <w:t>marks the third time the D</w:t>
      </w:r>
      <w:r>
        <w:t>.</w:t>
      </w:r>
      <w:r w:rsidRPr="006732DD">
        <w:t>C</w:t>
      </w:r>
      <w:r>
        <w:t>.</w:t>
      </w:r>
      <w:r w:rsidRPr="006732DD">
        <w:t xml:space="preserve"> Circuit has reviewed the Commission’s income tax allowance policy with respect to partnership entities.  </w:t>
      </w:r>
      <w:r w:rsidR="003B2D78">
        <w:br/>
      </w:r>
      <w:r w:rsidRPr="006732DD">
        <w:rPr>
          <w:i/>
          <w:iCs/>
        </w:rPr>
        <w:t>See BP West Coast Products, LLC v. FERC</w:t>
      </w:r>
      <w:r w:rsidRPr="006732DD">
        <w:t xml:space="preserve">, 374 F.3d 1263 (D.C. Cir. 2004); </w:t>
      </w:r>
      <w:r w:rsidR="003B2D78">
        <w:br/>
      </w:r>
      <w:r w:rsidRPr="00197820">
        <w:rPr>
          <w:i/>
          <w:iCs/>
        </w:rPr>
        <w:t xml:space="preserve">ExxonMobil Oil Corp. </w:t>
      </w:r>
      <w:r w:rsidRPr="00CA5E36">
        <w:rPr>
          <w:i/>
          <w:iCs/>
          <w:szCs w:val="26"/>
        </w:rPr>
        <w:t>v. FERC</w:t>
      </w:r>
      <w:r w:rsidRPr="00CA5E36">
        <w:rPr>
          <w:szCs w:val="26"/>
        </w:rPr>
        <w:t>, 487 F.3d 945 (D.C. Cir. 2007).</w:t>
      </w:r>
    </w:p>
    <w:p w14:paraId="5C7F8ECC" w14:textId="77777777" w:rsidR="00736C51" w:rsidRPr="00CA5E36" w:rsidRDefault="00736C51" w:rsidP="00223BFE">
      <w:pPr>
        <w:keepNext/>
        <w:ind w:firstLine="720"/>
        <w:rPr>
          <w:szCs w:val="26"/>
        </w:rPr>
      </w:pPr>
      <w:r w:rsidRPr="00CA5E36">
        <w:rPr>
          <w:szCs w:val="26"/>
        </w:rPr>
        <w:t xml:space="preserve"> </w:t>
      </w:r>
    </w:p>
  </w:footnote>
  <w:footnote w:id="14">
    <w:p w14:paraId="24961F06" w14:textId="67C56D15" w:rsidR="00736C51" w:rsidRPr="00174078" w:rsidRDefault="00736C51" w:rsidP="00223BFE">
      <w:pPr>
        <w:pStyle w:val="FootnoteText"/>
        <w:spacing w:after="240"/>
        <w:rPr>
          <w:i/>
          <w:szCs w:val="26"/>
        </w:rPr>
      </w:pPr>
      <w:r w:rsidRPr="006732DD">
        <w:rPr>
          <w:rStyle w:val="FootnoteReference"/>
          <w:bCs/>
        </w:rPr>
        <w:footnoteRef/>
      </w:r>
      <w:r w:rsidRPr="006732DD">
        <w:rPr>
          <w:b/>
          <w:bCs/>
          <w:szCs w:val="26"/>
        </w:rPr>
        <w:t xml:space="preserve"> </w:t>
      </w:r>
      <w:r w:rsidRPr="006732DD">
        <w:rPr>
          <w:i/>
          <w:iCs/>
        </w:rPr>
        <w:t>United Airlines</w:t>
      </w:r>
      <w:r w:rsidRPr="006732DD">
        <w:t>, 827 F.3d</w:t>
      </w:r>
      <w:r w:rsidRPr="006732DD">
        <w:rPr>
          <w:i/>
          <w:iCs/>
        </w:rPr>
        <w:t xml:space="preserve"> </w:t>
      </w:r>
      <w:r w:rsidRPr="006732DD">
        <w:t>at 13</w:t>
      </w:r>
      <w:r>
        <w:t>7</w:t>
      </w:r>
      <w:r w:rsidRPr="009C6351">
        <w:rPr>
          <w:szCs w:val="26"/>
        </w:rPr>
        <w:t xml:space="preserve">.  The </w:t>
      </w:r>
      <w:r>
        <w:rPr>
          <w:szCs w:val="26"/>
        </w:rPr>
        <w:t>D.C. Circuit</w:t>
      </w:r>
      <w:r w:rsidRPr="009C6351">
        <w:rPr>
          <w:szCs w:val="26"/>
        </w:rPr>
        <w:t xml:space="preserve"> did not restrict the Commission’s policy options, but, among other possibilities, it noted that the </w:t>
      </w:r>
      <w:r w:rsidR="00E85678">
        <w:rPr>
          <w:szCs w:val="26"/>
        </w:rPr>
        <w:br/>
      </w:r>
      <w:r w:rsidRPr="009C6351">
        <w:rPr>
          <w:szCs w:val="26"/>
        </w:rPr>
        <w:t xml:space="preserve">Commission could consider removing any duplicative tax recovery for partnerships </w:t>
      </w:r>
      <w:r w:rsidR="00E85678">
        <w:rPr>
          <w:szCs w:val="26"/>
        </w:rPr>
        <w:br/>
      </w:r>
      <w:r w:rsidRPr="009C6351">
        <w:rPr>
          <w:szCs w:val="26"/>
        </w:rPr>
        <w:t xml:space="preserve">directly from the DCF ROE, or eliminating all income tax allowances and setting rates based on pre-tax returns.  </w:t>
      </w:r>
      <w:r w:rsidRPr="30CE678A">
        <w:rPr>
          <w:i/>
          <w:iCs/>
          <w:szCs w:val="26"/>
        </w:rPr>
        <w:t>Id.</w:t>
      </w:r>
    </w:p>
  </w:footnote>
  <w:footnote w:id="15">
    <w:p w14:paraId="1D6B4C89" w14:textId="2CDF03F4" w:rsidR="00736C51" w:rsidRDefault="00736C51">
      <w:pPr>
        <w:pStyle w:val="FootnoteText"/>
      </w:pPr>
      <w:r>
        <w:rPr>
          <w:rStyle w:val="FootnoteReference"/>
        </w:rPr>
        <w:footnoteRef/>
      </w:r>
      <w:r>
        <w:rPr>
          <w:i/>
        </w:rPr>
        <w:t>Interstate and Intrastate Natural Gas Pipelines; Rate Changes Relating to Federal Income Tax Rate</w:t>
      </w:r>
      <w:r>
        <w:t xml:space="preserve">, </w:t>
      </w:r>
      <w:r w:rsidR="00E85678" w:rsidRPr="00E85678">
        <w:rPr>
          <w:szCs w:val="26"/>
        </w:rPr>
        <w:t>162</w:t>
      </w:r>
      <w:r w:rsidRPr="00E85678">
        <w:rPr>
          <w:szCs w:val="26"/>
        </w:rPr>
        <w:t xml:space="preserve"> FERC ¶ </w:t>
      </w:r>
      <w:r w:rsidR="00E85678" w:rsidRPr="00E85678">
        <w:rPr>
          <w:szCs w:val="26"/>
        </w:rPr>
        <w:t>61,226</w:t>
      </w:r>
      <w:r w:rsidRPr="00E85678">
        <w:rPr>
          <w:szCs w:val="26"/>
        </w:rPr>
        <w:t xml:space="preserve"> (2018).</w:t>
      </w:r>
      <w:r>
        <w:rPr>
          <w:szCs w:val="26"/>
        </w:rPr>
        <w:t xml:space="preserve"> </w:t>
      </w:r>
    </w:p>
  </w:footnote>
  <w:footnote w:id="16">
    <w:p w14:paraId="2E30E6C6" w14:textId="77777777" w:rsidR="00736C51" w:rsidRPr="00CA5E36" w:rsidRDefault="00736C51" w:rsidP="00223BFE">
      <w:pPr>
        <w:pStyle w:val="FootnoteText"/>
        <w:spacing w:after="240"/>
        <w:rPr>
          <w:b/>
        </w:rPr>
      </w:pPr>
      <w:r w:rsidRPr="00453709">
        <w:rPr>
          <w:rStyle w:val="FootnoteReference"/>
        </w:rPr>
        <w:footnoteRef/>
      </w:r>
      <w:r w:rsidRPr="00CA5E36">
        <w:rPr>
          <w:b/>
          <w:szCs w:val="26"/>
        </w:rPr>
        <w:t xml:space="preserve"> </w:t>
      </w:r>
      <w:r w:rsidRPr="00CA5E36">
        <w:rPr>
          <w:i/>
          <w:iCs/>
          <w:szCs w:val="26"/>
        </w:rPr>
        <w:t>United Airlines</w:t>
      </w:r>
      <w:r w:rsidRPr="00CA5E36">
        <w:rPr>
          <w:szCs w:val="26"/>
        </w:rPr>
        <w:t>, 827 F.3d</w:t>
      </w:r>
      <w:r w:rsidRPr="00CA5E36">
        <w:rPr>
          <w:i/>
          <w:iCs/>
          <w:szCs w:val="26"/>
        </w:rPr>
        <w:t xml:space="preserve"> </w:t>
      </w:r>
      <w:r w:rsidRPr="00CA5E36">
        <w:rPr>
          <w:szCs w:val="26"/>
        </w:rPr>
        <w:t>at 136.</w:t>
      </w:r>
      <w:r>
        <w:rPr>
          <w:szCs w:val="26"/>
        </w:rPr>
        <w:t xml:space="preserve">  </w:t>
      </w:r>
    </w:p>
  </w:footnote>
  <w:footnote w:id="17">
    <w:p w14:paraId="2511F93F" w14:textId="148615F8" w:rsidR="00736C51" w:rsidRDefault="00736C51" w:rsidP="00223BFE">
      <w:pPr>
        <w:pStyle w:val="FootnoteText"/>
      </w:pPr>
      <w:r>
        <w:rPr>
          <w:rStyle w:val="FootnoteReference"/>
        </w:rPr>
        <w:footnoteRef/>
      </w:r>
      <w:r>
        <w:t xml:space="preserve"> 2005 </w:t>
      </w:r>
      <w:r w:rsidRPr="004F7D7A">
        <w:t>Income Tax Policy Statement</w:t>
      </w:r>
      <w:r>
        <w:t>, 111 FERC ¶ 61,139 at P 33</w:t>
      </w:r>
      <w:r>
        <w:rPr>
          <w:szCs w:val="26"/>
        </w:rPr>
        <w:t xml:space="preserve">; </w:t>
      </w:r>
      <w:r>
        <w:rPr>
          <w:i/>
        </w:rPr>
        <w:t>see also</w:t>
      </w:r>
      <w:r>
        <w:t xml:space="preserve"> </w:t>
      </w:r>
      <w:r w:rsidRPr="00481DD8">
        <w:rPr>
          <w:i/>
          <w:szCs w:val="26"/>
        </w:rPr>
        <w:t>ExxonMobil</w:t>
      </w:r>
      <w:r>
        <w:rPr>
          <w:szCs w:val="26"/>
        </w:rPr>
        <w:t>, 487 F.3d at 954 (noting that “investors in a limited partnership are required to pay tax on their distributive shares of the partnership income, even if they do not receive a cash distribution”)</w:t>
      </w:r>
      <w:r>
        <w:t xml:space="preserve">.  </w:t>
      </w:r>
      <w:r w:rsidRPr="00481DD8">
        <w:rPr>
          <w:szCs w:val="26"/>
        </w:rPr>
        <w:t xml:space="preserve">In contrast, </w:t>
      </w:r>
      <w:r>
        <w:rPr>
          <w:szCs w:val="26"/>
        </w:rPr>
        <w:t xml:space="preserve">corporations pay entity-level income taxes, and </w:t>
      </w:r>
      <w:r w:rsidRPr="00481DD8">
        <w:rPr>
          <w:szCs w:val="26"/>
        </w:rPr>
        <w:t>corporate dividends are second tier income to a common stock investor, not analogou</w:t>
      </w:r>
      <w:r>
        <w:rPr>
          <w:szCs w:val="26"/>
        </w:rPr>
        <w:t>s to partnership distributions.</w:t>
      </w:r>
    </w:p>
  </w:footnote>
  <w:footnote w:id="18">
    <w:p w14:paraId="3D93AC05" w14:textId="2D4499F7" w:rsidR="00736C51" w:rsidRPr="00587F09" w:rsidRDefault="00736C51" w:rsidP="00223BFE">
      <w:pPr>
        <w:pStyle w:val="FootnoteText"/>
        <w:spacing w:after="240"/>
        <w:rPr>
          <w:szCs w:val="26"/>
        </w:rPr>
      </w:pPr>
      <w:r w:rsidRPr="00453709">
        <w:rPr>
          <w:rStyle w:val="FootnoteReference"/>
          <w:bCs/>
        </w:rPr>
        <w:footnoteRef/>
      </w:r>
      <w:r>
        <w:rPr>
          <w:b/>
          <w:bCs/>
          <w:szCs w:val="26"/>
        </w:rPr>
        <w:t xml:space="preserve"> </w:t>
      </w:r>
      <w:r w:rsidRPr="00F503C3">
        <w:rPr>
          <w:bCs/>
          <w:i/>
          <w:szCs w:val="26"/>
        </w:rPr>
        <w:t>S</w:t>
      </w:r>
      <w:r>
        <w:rPr>
          <w:i/>
          <w:szCs w:val="26"/>
        </w:rPr>
        <w:t xml:space="preserve">ee </w:t>
      </w:r>
      <w:r w:rsidRPr="00DD5EB3">
        <w:rPr>
          <w:i/>
          <w:szCs w:val="26"/>
        </w:rPr>
        <w:t xml:space="preserve">Coakley v. Bangor Hydro-Electric Co., </w:t>
      </w:r>
      <w:r w:rsidRPr="00D145B8">
        <w:t>Opinion No. 531, 147 FERC ¶ 61,234 at P 14.</w:t>
      </w:r>
    </w:p>
  </w:footnote>
  <w:footnote w:id="19">
    <w:p w14:paraId="653B1641" w14:textId="77777777" w:rsidR="00736C51" w:rsidRPr="009C6351" w:rsidRDefault="00736C51" w:rsidP="00223BFE">
      <w:pPr>
        <w:pStyle w:val="FootnoteText"/>
        <w:spacing w:after="240"/>
        <w:rPr>
          <w:szCs w:val="26"/>
        </w:rPr>
      </w:pPr>
      <w:r w:rsidRPr="00136F71">
        <w:rPr>
          <w:rStyle w:val="FootnoteReference"/>
          <w:bCs/>
        </w:rPr>
        <w:footnoteRef/>
      </w:r>
      <w:r w:rsidRPr="006732DD">
        <w:rPr>
          <w:b/>
          <w:bCs/>
          <w:szCs w:val="26"/>
        </w:rPr>
        <w:t xml:space="preserve"> </w:t>
      </w:r>
      <w:r w:rsidRPr="009F6E3E">
        <w:rPr>
          <w:i/>
          <w:iCs/>
          <w:szCs w:val="26"/>
        </w:rPr>
        <w:t>Kern River Transmission Co.</w:t>
      </w:r>
      <w:r w:rsidRPr="009F6E3E">
        <w:rPr>
          <w:szCs w:val="26"/>
        </w:rPr>
        <w:t>, Opinion No. 486-B, 126 FERC ¶ 61,034, at P 114 (2009) (“investors invest on the basis of after-tax returns and price an instrument accordingly”).</w:t>
      </w:r>
      <w:r>
        <w:rPr>
          <w:szCs w:val="26"/>
        </w:rPr>
        <w:t xml:space="preserve">  </w:t>
      </w:r>
    </w:p>
  </w:footnote>
  <w:footnote w:id="20">
    <w:p w14:paraId="26D19EAC" w14:textId="77777777" w:rsidR="00736C51" w:rsidRPr="006732DD" w:rsidRDefault="00736C51" w:rsidP="00223BFE">
      <w:pPr>
        <w:keepNext/>
        <w:spacing w:after="240"/>
        <w:ind w:firstLine="720"/>
      </w:pPr>
      <w:r w:rsidRPr="00136F71">
        <w:rPr>
          <w:rStyle w:val="FootnoteReference"/>
          <w:bCs/>
        </w:rPr>
        <w:footnoteRef/>
      </w:r>
      <w:r w:rsidRPr="006732DD">
        <w:rPr>
          <w:b/>
          <w:bCs/>
        </w:rPr>
        <w:t xml:space="preserve"> </w:t>
      </w:r>
      <w:r w:rsidRPr="006732DD">
        <w:rPr>
          <w:i/>
          <w:iCs/>
        </w:rPr>
        <w:t>United Airlines</w:t>
      </w:r>
      <w:r w:rsidRPr="006732DD">
        <w:t>, 827 F.3d at 136 (emphasis added).</w:t>
      </w:r>
    </w:p>
  </w:footnote>
  <w:footnote w:id="21">
    <w:p w14:paraId="52C0E4E8" w14:textId="77777777" w:rsidR="00736C51" w:rsidRPr="008B3C30" w:rsidRDefault="00736C51" w:rsidP="00223BFE">
      <w:pPr>
        <w:spacing w:after="240"/>
        <w:ind w:firstLine="720"/>
        <w:rPr>
          <w:szCs w:val="26"/>
        </w:rPr>
      </w:pPr>
      <w:r>
        <w:rPr>
          <w:rStyle w:val="FootnoteReference"/>
        </w:rPr>
        <w:footnoteRef/>
      </w:r>
      <w:r>
        <w:t xml:space="preserve"> </w:t>
      </w:r>
      <w:r>
        <w:rPr>
          <w:i/>
        </w:rPr>
        <w:t>Id.</w:t>
      </w:r>
      <w:r>
        <w:t xml:space="preserve"> at 137.  </w:t>
      </w:r>
    </w:p>
  </w:footnote>
  <w:footnote w:id="22">
    <w:p w14:paraId="4D1A6981" w14:textId="2CF1740C" w:rsidR="00736C51" w:rsidRPr="009C6351"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62073B">
        <w:rPr>
          <w:bCs/>
          <w:i/>
          <w:szCs w:val="26"/>
        </w:rPr>
        <w:t>E.g.</w:t>
      </w:r>
      <w:r>
        <w:rPr>
          <w:bCs/>
          <w:i/>
          <w:szCs w:val="26"/>
        </w:rPr>
        <w:t>,</w:t>
      </w:r>
      <w:r w:rsidRPr="0062073B">
        <w:rPr>
          <w:bCs/>
          <w:i/>
          <w:szCs w:val="26"/>
        </w:rPr>
        <w:t xml:space="preserve"> </w:t>
      </w:r>
      <w:r>
        <w:rPr>
          <w:bCs/>
          <w:szCs w:val="26"/>
        </w:rPr>
        <w:t>Association of Oil Pipe Lines (</w:t>
      </w:r>
      <w:r w:rsidRPr="0062073B">
        <w:rPr>
          <w:szCs w:val="26"/>
        </w:rPr>
        <w:t>AOPL</w:t>
      </w:r>
      <w:r>
        <w:rPr>
          <w:szCs w:val="26"/>
        </w:rPr>
        <w:t>)</w:t>
      </w:r>
      <w:r w:rsidRPr="0062073B">
        <w:rPr>
          <w:szCs w:val="26"/>
        </w:rPr>
        <w:t xml:space="preserve"> Initial Comments at 24-27, Graham Declaration at 12-13; SFPP Initial Comments at 21-26, Vander Weide Declaration at </w:t>
      </w:r>
      <w:r w:rsidR="00E85678">
        <w:rPr>
          <w:szCs w:val="26"/>
        </w:rPr>
        <w:br/>
      </w:r>
      <w:r w:rsidRPr="0062073B">
        <w:rPr>
          <w:szCs w:val="26"/>
        </w:rPr>
        <w:t>PP 8, 19.  The</w:t>
      </w:r>
      <w:r>
        <w:rPr>
          <w:szCs w:val="26"/>
        </w:rPr>
        <w:t>se commenters argue that i</w:t>
      </w:r>
      <w:r w:rsidRPr="009C6351">
        <w:rPr>
          <w:szCs w:val="26"/>
        </w:rPr>
        <w:t xml:space="preserve">f </w:t>
      </w:r>
      <w:r>
        <w:rPr>
          <w:szCs w:val="26"/>
        </w:rPr>
        <w:t>an</w:t>
      </w:r>
      <w:r w:rsidRPr="009C6351">
        <w:rPr>
          <w:szCs w:val="26"/>
        </w:rPr>
        <w:t xml:space="preserve"> MLP is able to charge a higher tariff rate, </w:t>
      </w:r>
      <w:r w:rsidR="00E85678">
        <w:rPr>
          <w:szCs w:val="26"/>
        </w:rPr>
        <w:br/>
      </w:r>
      <w:r w:rsidRPr="009C6351">
        <w:rPr>
          <w:szCs w:val="26"/>
        </w:rPr>
        <w:t xml:space="preserve">the increased cash flow will lead to increased distributions to investors and MLP prices </w:t>
      </w:r>
      <w:r w:rsidR="00E85678">
        <w:rPr>
          <w:szCs w:val="26"/>
        </w:rPr>
        <w:br/>
      </w:r>
      <w:r w:rsidRPr="009C6351">
        <w:rPr>
          <w:szCs w:val="26"/>
        </w:rPr>
        <w:t xml:space="preserve">will rise to reflect the additional cash flow.  Hence, the market will immediately react to eliminate any differences such that the after-tax returns of partnership and corporate investors are equalized.  </w:t>
      </w:r>
    </w:p>
  </w:footnote>
  <w:footnote w:id="23">
    <w:p w14:paraId="094E4FCF" w14:textId="77777777" w:rsidR="00736C51" w:rsidRDefault="00736C51" w:rsidP="00223BFE">
      <w:pPr>
        <w:pStyle w:val="FootnoteText"/>
      </w:pPr>
      <w:r>
        <w:rPr>
          <w:rStyle w:val="FootnoteReference"/>
        </w:rPr>
        <w:footnoteRef/>
      </w:r>
      <w:r>
        <w:t xml:space="preserve"> The proxy group may include corporations as well.  In that case, the ROE will reflect the dividend tax paid by corporate investors.</w:t>
      </w:r>
    </w:p>
  </w:footnote>
  <w:footnote w:id="24">
    <w:p w14:paraId="1C5878CA" w14:textId="41C385BC" w:rsidR="00736C51" w:rsidRDefault="00736C51" w:rsidP="00223BFE">
      <w:pPr>
        <w:pStyle w:val="FootnoteText"/>
      </w:pPr>
      <w:r>
        <w:rPr>
          <w:rStyle w:val="FootnoteReference"/>
        </w:rPr>
        <w:footnoteRef/>
      </w:r>
      <w:r>
        <w:t xml:space="preserve"> While an inflated cost of service will likely increase distributions to investors and cause a pipeline’s unit price to rise, such benefits to a pipeline’s unitholders do not render the double recovery permissible.  Under this theory, the Commission could increase a pipeline’s cost of service by allowing the pipeline to incorporate duplicative costs, yet these commenters appear to claim that because its unit price would subsequently rise, the inclusion of duplicative costs in the pipeline’s cost of service </w:t>
      </w:r>
      <w:r w:rsidRPr="00183533">
        <w:t>is not unjust or unreasonable</w:t>
      </w:r>
      <w:r>
        <w:t xml:space="preserve">.  This argument is without merit. </w:t>
      </w:r>
    </w:p>
  </w:footnote>
  <w:footnote w:id="25">
    <w:p w14:paraId="091EA6E4" w14:textId="5040CBB3" w:rsidR="00736C51" w:rsidRPr="009C6351" w:rsidRDefault="00736C51" w:rsidP="00223BFE">
      <w:pPr>
        <w:pStyle w:val="FootnoteText"/>
        <w:spacing w:after="120"/>
        <w:rPr>
          <w:szCs w:val="26"/>
        </w:rPr>
      </w:pPr>
      <w:r w:rsidRPr="006732DD">
        <w:rPr>
          <w:rStyle w:val="FootnoteReference"/>
          <w:bCs/>
        </w:rPr>
        <w:footnoteRef/>
      </w:r>
      <w:r w:rsidRPr="006732DD">
        <w:rPr>
          <w:b/>
          <w:bCs/>
          <w:szCs w:val="26"/>
        </w:rPr>
        <w:t xml:space="preserve"> </w:t>
      </w:r>
      <w:r w:rsidRPr="30CE678A">
        <w:rPr>
          <w:i/>
          <w:iCs/>
          <w:szCs w:val="26"/>
        </w:rPr>
        <w:t>United Airlines</w:t>
      </w:r>
      <w:r w:rsidRPr="009C6351">
        <w:rPr>
          <w:szCs w:val="26"/>
        </w:rPr>
        <w:t xml:space="preserve">, 827 F.3d at 136.  In finding that “the [DCF ROE] determines </w:t>
      </w:r>
      <w:r w:rsidR="00E85678">
        <w:rPr>
          <w:szCs w:val="26"/>
        </w:rPr>
        <w:br/>
      </w:r>
      <w:r w:rsidRPr="009C6351">
        <w:rPr>
          <w:szCs w:val="26"/>
        </w:rPr>
        <w:t xml:space="preserve">the pre-tax investor return required to attract investment, irrespective of whether the regulated entity is a partnership or a corporate pipeline,” the Court relied on Opinion </w:t>
      </w:r>
      <w:r w:rsidR="00E85678">
        <w:rPr>
          <w:szCs w:val="26"/>
        </w:rPr>
        <w:br/>
      </w:r>
      <w:r w:rsidRPr="009C6351">
        <w:rPr>
          <w:szCs w:val="26"/>
        </w:rPr>
        <w:t>No. 511, 134 FERC ¶ 61,121 at PP 243, 244, which included the following example:</w:t>
      </w:r>
    </w:p>
    <w:p w14:paraId="77F53392" w14:textId="45FDAFAC" w:rsidR="00736C51" w:rsidRPr="00B524BB" w:rsidRDefault="00736C51" w:rsidP="00223BFE">
      <w:pPr>
        <w:pStyle w:val="FootnoteText"/>
        <w:spacing w:after="240"/>
        <w:ind w:left="1440" w:right="1440" w:firstLine="0"/>
        <w:jc w:val="both"/>
        <w:rPr>
          <w:szCs w:val="26"/>
        </w:rPr>
      </w:pPr>
      <w:r w:rsidRPr="009C6351">
        <w:rPr>
          <w:color w:val="000000" w:themeColor="text1"/>
          <w:szCs w:val="26"/>
        </w:rPr>
        <w:t xml:space="preserve">The investor desires a 6 percent after-tax return and has </w:t>
      </w:r>
      <w:r w:rsidRPr="00B524BB">
        <w:rPr>
          <w:szCs w:val="26"/>
        </w:rPr>
        <w:t xml:space="preserve">a </w:t>
      </w:r>
      <w:r w:rsidR="00E85678">
        <w:rPr>
          <w:szCs w:val="26"/>
        </w:rPr>
        <w:br/>
      </w:r>
      <w:r w:rsidRPr="00B524BB">
        <w:rPr>
          <w:szCs w:val="26"/>
        </w:rPr>
        <w:t>25 percent marginal tax rate.  Thus, the security must have an ROE of 8 percent to achieve an after-tax yield of 6 percent.  Assume that the distribution or dividend is $8.  The investor will price the security at $100.  Conversely, if the security price is $100 and the yield is $8, the Commission determines that the required return is 8 percent.  If the dollar distribution increases to $10, the investor will price the security at $125 because $10 is 8 percent of $125.  The Commission would note that the security price is $125 and that the yield is $10, or a return of 8 percent.  If the distribution is $6, the security price will drop to $75, a return of 8 percent.  The Commission would observe a $75 dollar security price, a $6 yield, and a return of 8 percent.  In all cases the ROE is 8 percent and the after-tax return is 6 percent based on the market-established return.</w:t>
      </w:r>
    </w:p>
  </w:footnote>
  <w:footnote w:id="26">
    <w:p w14:paraId="14C85177" w14:textId="77777777" w:rsidR="00736C51" w:rsidRDefault="00736C51" w:rsidP="00223BFE">
      <w:pPr>
        <w:pStyle w:val="FootnoteText"/>
      </w:pPr>
      <w:r>
        <w:rPr>
          <w:rStyle w:val="FootnoteReference"/>
        </w:rPr>
        <w:footnoteRef/>
      </w:r>
      <w:r>
        <w:t xml:space="preserve"> This is true both for the entity whose rates are at issue in a cost-of-service rate case (such as SFPP in the Remand Order) and for the entities in the proxy group.  </w:t>
      </w:r>
    </w:p>
  </w:footnote>
  <w:footnote w:id="27">
    <w:p w14:paraId="63EA0B95" w14:textId="77777777" w:rsidR="00736C51" w:rsidRPr="009C6351" w:rsidRDefault="00736C51" w:rsidP="00223BFE">
      <w:pPr>
        <w:pStyle w:val="FootnoteText"/>
        <w:spacing w:after="240"/>
        <w:rPr>
          <w:szCs w:val="26"/>
        </w:rPr>
      </w:pPr>
      <w:r w:rsidRPr="006732DD">
        <w:rPr>
          <w:rStyle w:val="FootnoteReference"/>
          <w:bCs/>
        </w:rPr>
        <w:footnoteRef/>
      </w:r>
      <w:r w:rsidRPr="009C6351">
        <w:rPr>
          <w:szCs w:val="26"/>
        </w:rPr>
        <w:t xml:space="preserve"> </w:t>
      </w:r>
      <w:r>
        <w:t>Interstate Natural Gas Association of America (</w:t>
      </w:r>
      <w:r w:rsidRPr="009C6351">
        <w:rPr>
          <w:szCs w:val="26"/>
        </w:rPr>
        <w:t>INGAA</w:t>
      </w:r>
      <w:r>
        <w:rPr>
          <w:szCs w:val="26"/>
        </w:rPr>
        <w:t>)</w:t>
      </w:r>
      <w:r w:rsidRPr="009C6351">
        <w:rPr>
          <w:szCs w:val="26"/>
        </w:rPr>
        <w:t xml:space="preserve"> Initial Comments, Sullivan </w:t>
      </w:r>
      <w:r>
        <w:rPr>
          <w:szCs w:val="26"/>
        </w:rPr>
        <w:t>Affidavit</w:t>
      </w:r>
      <w:r w:rsidRPr="009C6351">
        <w:rPr>
          <w:szCs w:val="26"/>
        </w:rPr>
        <w:t xml:space="preserve"> at 12-14, 24-25, 27.</w:t>
      </w:r>
    </w:p>
  </w:footnote>
  <w:footnote w:id="28">
    <w:p w14:paraId="24CB4CAA" w14:textId="77777777" w:rsidR="00736C51" w:rsidRPr="009C6351"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EE7ED6">
        <w:rPr>
          <w:szCs w:val="26"/>
        </w:rPr>
        <w:t>Federal Ene</w:t>
      </w:r>
      <w:r>
        <w:rPr>
          <w:szCs w:val="26"/>
        </w:rPr>
        <w:t xml:space="preserve">rgy Regulatory Commission and United States of America, Brief for Respondents, </w:t>
      </w:r>
      <w:r w:rsidRPr="00EE7ED6">
        <w:rPr>
          <w:szCs w:val="26"/>
        </w:rPr>
        <w:t>Case No. 11-1479</w:t>
      </w:r>
      <w:r>
        <w:rPr>
          <w:szCs w:val="26"/>
        </w:rPr>
        <w:t>, at 26</w:t>
      </w:r>
      <w:r w:rsidRPr="00EE7ED6">
        <w:rPr>
          <w:szCs w:val="26"/>
        </w:rPr>
        <w:t xml:space="preserve"> (D.C. Cir., filed Feb. 5, 2016).</w:t>
      </w:r>
    </w:p>
  </w:footnote>
  <w:footnote w:id="29">
    <w:p w14:paraId="2648E110" w14:textId="77777777" w:rsidR="00736C51" w:rsidRPr="009C6351"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9C6351">
        <w:rPr>
          <w:szCs w:val="26"/>
        </w:rPr>
        <w:t xml:space="preserve">Corporations first pay the corporate income tax from their earnings prior to any dividends to investors.  Then, subsequently, investors pay taxes on dividends.  While the pre-investor tax DCF return would reflect the dividend tax paid by investors, it does not reflect the corporate income tax. </w:t>
      </w:r>
    </w:p>
  </w:footnote>
  <w:footnote w:id="30">
    <w:p w14:paraId="54EEEB58" w14:textId="77777777" w:rsidR="00736C51" w:rsidRPr="009C6351"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6732DD">
        <w:rPr>
          <w:i/>
          <w:iCs/>
          <w:szCs w:val="26"/>
        </w:rPr>
        <w:t>United Airlines</w:t>
      </w:r>
      <w:r w:rsidRPr="009C6351">
        <w:rPr>
          <w:szCs w:val="26"/>
        </w:rPr>
        <w:t>, 827 F.3d at 136 (explaining “unlike a corporate pipeline, a partnership pipeline incurs no taxes, except those imputed from its partners, at the entity level”)</w:t>
      </w:r>
      <w:r>
        <w:rPr>
          <w:szCs w:val="26"/>
        </w:rPr>
        <w:t>.</w:t>
      </w:r>
      <w:r w:rsidRPr="009C6351">
        <w:rPr>
          <w:szCs w:val="26"/>
        </w:rPr>
        <w:t xml:space="preserve"> </w:t>
      </w:r>
    </w:p>
  </w:footnote>
  <w:footnote w:id="31">
    <w:p w14:paraId="6CC76236" w14:textId="77777777" w:rsidR="00736C51" w:rsidRDefault="00736C51" w:rsidP="00223BFE">
      <w:pPr>
        <w:pStyle w:val="FootnoteText"/>
      </w:pPr>
      <w:r>
        <w:rPr>
          <w:rStyle w:val="FootnoteReference"/>
        </w:rPr>
        <w:footnoteRef/>
      </w:r>
      <w:r>
        <w:t xml:space="preserve"> In the past, the Commission has stated that its</w:t>
      </w:r>
      <w:r w:rsidRPr="00FE3FCD">
        <w:t xml:space="preserve"> income tax allowance policy “imputes” those</w:t>
      </w:r>
      <w:r>
        <w:t xml:space="preserve"> investor-level</w:t>
      </w:r>
      <w:r w:rsidRPr="00FE3FCD">
        <w:t xml:space="preserve"> taxes to the partnership entity.</w:t>
      </w:r>
      <w:r>
        <w:t xml:space="preserve">  In using such phrasing, the Commission never denied that investors nonetheless pay the investor-level taxes.</w:t>
      </w:r>
    </w:p>
  </w:footnote>
  <w:footnote w:id="32">
    <w:p w14:paraId="380FAA41" w14:textId="77777777" w:rsidR="00736C51" w:rsidRPr="009C6351"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9C6351">
        <w:rPr>
          <w:szCs w:val="26"/>
        </w:rPr>
        <w:t xml:space="preserve">In </w:t>
      </w:r>
      <w:r w:rsidRPr="30CE678A">
        <w:rPr>
          <w:i/>
          <w:iCs/>
          <w:szCs w:val="26"/>
        </w:rPr>
        <w:t>United Airlines</w:t>
      </w:r>
      <w:r w:rsidRPr="009C6351">
        <w:rPr>
          <w:szCs w:val="26"/>
        </w:rPr>
        <w:t>, the D</w:t>
      </w:r>
      <w:r>
        <w:rPr>
          <w:szCs w:val="26"/>
        </w:rPr>
        <w:t>.</w:t>
      </w:r>
      <w:r w:rsidRPr="009C6351">
        <w:rPr>
          <w:szCs w:val="26"/>
        </w:rPr>
        <w:t>C</w:t>
      </w:r>
      <w:r>
        <w:rPr>
          <w:szCs w:val="26"/>
        </w:rPr>
        <w:t>.</w:t>
      </w:r>
      <w:r w:rsidRPr="009C6351">
        <w:rPr>
          <w:szCs w:val="26"/>
        </w:rPr>
        <w:t xml:space="preserve"> Circuit acknowledged that in </w:t>
      </w:r>
      <w:r w:rsidRPr="30CE678A">
        <w:rPr>
          <w:i/>
          <w:iCs/>
          <w:szCs w:val="26"/>
        </w:rPr>
        <w:t xml:space="preserve">ExxonMobil </w:t>
      </w:r>
      <w:r w:rsidRPr="009C6351">
        <w:rPr>
          <w:szCs w:val="26"/>
        </w:rPr>
        <w:t xml:space="preserve">it held that </w:t>
      </w:r>
      <w:r>
        <w:rPr>
          <w:szCs w:val="26"/>
        </w:rPr>
        <w:t>the Commission provided a reasoned basis for allowing an</w:t>
      </w:r>
      <w:r w:rsidRPr="009C6351">
        <w:rPr>
          <w:szCs w:val="26"/>
        </w:rPr>
        <w:t xml:space="preserve"> MLP </w:t>
      </w:r>
      <w:r>
        <w:rPr>
          <w:szCs w:val="26"/>
        </w:rPr>
        <w:t>p</w:t>
      </w:r>
      <w:r w:rsidRPr="009C6351">
        <w:rPr>
          <w:szCs w:val="26"/>
        </w:rPr>
        <w:t xml:space="preserve">ipeline </w:t>
      </w:r>
      <w:r>
        <w:rPr>
          <w:szCs w:val="26"/>
        </w:rPr>
        <w:t>to</w:t>
      </w:r>
      <w:r w:rsidRPr="009C6351">
        <w:rPr>
          <w:szCs w:val="26"/>
        </w:rPr>
        <w:t xml:space="preserve"> recover the “first tier” income tax costs paid by the MLP partners.  However, the </w:t>
      </w:r>
      <w:r>
        <w:t>D.C. Circuit</w:t>
      </w:r>
      <w:r w:rsidRPr="009C6351">
        <w:rPr>
          <w:szCs w:val="26"/>
        </w:rPr>
        <w:t xml:space="preserve"> explain</w:t>
      </w:r>
      <w:r>
        <w:rPr>
          <w:szCs w:val="26"/>
        </w:rPr>
        <w:t>ed</w:t>
      </w:r>
      <w:r w:rsidRPr="009C6351">
        <w:rPr>
          <w:szCs w:val="26"/>
        </w:rPr>
        <w:t xml:space="preserve"> that in </w:t>
      </w:r>
      <w:r w:rsidRPr="006732DD">
        <w:rPr>
          <w:i/>
          <w:iCs/>
          <w:szCs w:val="26"/>
        </w:rPr>
        <w:t>ExxonMobil</w:t>
      </w:r>
      <w:r w:rsidRPr="009C6351">
        <w:rPr>
          <w:szCs w:val="26"/>
        </w:rPr>
        <w:t>, it had “reserved the issue of whether the combination of the [DCF ROE] and the tax allowance results in a double recovery of taxes for partnership pipelines.”</w:t>
      </w:r>
      <w:r>
        <w:rPr>
          <w:szCs w:val="26"/>
        </w:rPr>
        <w:t xml:space="preserve"> </w:t>
      </w:r>
      <w:r w:rsidRPr="30CE678A">
        <w:rPr>
          <w:i/>
          <w:iCs/>
          <w:szCs w:val="26"/>
        </w:rPr>
        <w:t xml:space="preserve"> United Airlines</w:t>
      </w:r>
      <w:r w:rsidRPr="009C6351">
        <w:rPr>
          <w:szCs w:val="26"/>
        </w:rPr>
        <w:t>, 827 F.3d at 134</w:t>
      </w:r>
      <w:r>
        <w:rPr>
          <w:szCs w:val="26"/>
        </w:rPr>
        <w:t xml:space="preserve">; </w:t>
      </w:r>
      <w:r w:rsidRPr="006732DD">
        <w:rPr>
          <w:i/>
          <w:iCs/>
          <w:szCs w:val="26"/>
        </w:rPr>
        <w:t>see also ExxonMobil</w:t>
      </w:r>
      <w:r w:rsidRPr="00A21A62">
        <w:rPr>
          <w:szCs w:val="26"/>
        </w:rPr>
        <w:t>, 487 F.3d 945</w:t>
      </w:r>
      <w:r w:rsidRPr="009C6351">
        <w:rPr>
          <w:szCs w:val="26"/>
        </w:rPr>
        <w:t>.</w:t>
      </w:r>
    </w:p>
  </w:footnote>
  <w:footnote w:id="33">
    <w:p w14:paraId="4C03442C" w14:textId="77777777" w:rsidR="00736C51" w:rsidRPr="004A1686"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197548">
        <w:rPr>
          <w:szCs w:val="26"/>
        </w:rPr>
        <w:t xml:space="preserve">SFPP </w:t>
      </w:r>
      <w:r>
        <w:rPr>
          <w:szCs w:val="26"/>
        </w:rPr>
        <w:t xml:space="preserve">Initial </w:t>
      </w:r>
      <w:r w:rsidRPr="00197548">
        <w:rPr>
          <w:szCs w:val="26"/>
        </w:rPr>
        <w:t xml:space="preserve">Comments at 17, Vander Weide Declaration </w:t>
      </w:r>
      <w:r>
        <w:rPr>
          <w:szCs w:val="26"/>
        </w:rPr>
        <w:t>at PP 12, 14, 18</w:t>
      </w:r>
      <w:r w:rsidRPr="00197548">
        <w:rPr>
          <w:szCs w:val="26"/>
        </w:rPr>
        <w:t>.</w:t>
      </w:r>
      <w:r>
        <w:rPr>
          <w:szCs w:val="26"/>
        </w:rPr>
        <w:t xml:space="preserve">  SFPP claims that investors will not “gross-up” the required after-tax return to include tax costs.  SFPP Initial Comments at 16; </w:t>
      </w:r>
      <w:r w:rsidRPr="00197548">
        <w:rPr>
          <w:szCs w:val="26"/>
        </w:rPr>
        <w:t xml:space="preserve">Vander Weide Declaration </w:t>
      </w:r>
      <w:r>
        <w:rPr>
          <w:szCs w:val="26"/>
        </w:rPr>
        <w:t>at PP 6, 18.</w:t>
      </w:r>
    </w:p>
  </w:footnote>
  <w:footnote w:id="34">
    <w:p w14:paraId="345B2D8B" w14:textId="77777777" w:rsidR="00736C51" w:rsidRDefault="00736C51" w:rsidP="00223BFE">
      <w:pPr>
        <w:pStyle w:val="FootnoteText"/>
      </w:pPr>
      <w:r>
        <w:rPr>
          <w:rStyle w:val="FootnoteReference"/>
        </w:rPr>
        <w:footnoteRef/>
      </w:r>
      <w:r>
        <w:t xml:space="preserve">   The Internal Revenue Code does not exempt from taxation income that results from the increases to rates resulting from the cost-of-service income tax allowance.</w:t>
      </w:r>
    </w:p>
  </w:footnote>
  <w:footnote w:id="35">
    <w:p w14:paraId="28EEF401" w14:textId="5C1E52AE" w:rsidR="00736C51" w:rsidRPr="009C6351"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E42924">
        <w:rPr>
          <w:szCs w:val="26"/>
        </w:rPr>
        <w:t xml:space="preserve">Suppose an income tax allowance increases a pipeline’s rates, raising investor income from $10 to $12.  </w:t>
      </w:r>
      <w:r w:rsidRPr="00840A8F">
        <w:rPr>
          <w:szCs w:val="26"/>
        </w:rPr>
        <w:t>Two things have occurred;</w:t>
      </w:r>
      <w:r>
        <w:rPr>
          <w:szCs w:val="26"/>
        </w:rPr>
        <w:t xml:space="preserve"> first</w:t>
      </w:r>
      <w:r w:rsidRPr="00840A8F">
        <w:rPr>
          <w:szCs w:val="26"/>
        </w:rPr>
        <w:t xml:space="preserve"> the investor’s pre-tax income increased from $10 to $12 and second the investor now owes taxes on $12 of income just as she owed taxes on the initial $10.  The unit price will increase until the investor receives the same pre-tax return at $12 of income that it received at $10 of income.</w:t>
      </w:r>
      <w:r w:rsidRPr="00840A8F">
        <w:t xml:space="preserve">  I</w:t>
      </w:r>
      <w:r w:rsidRPr="00840A8F">
        <w:rPr>
          <w:szCs w:val="26"/>
        </w:rPr>
        <w:t>n other words, Commission policy does not shift the actual liability</w:t>
      </w:r>
      <w:r w:rsidRPr="00E42924">
        <w:rPr>
          <w:szCs w:val="26"/>
        </w:rPr>
        <w:t xml:space="preserve"> to pay income taxes from the MLP partners to the MLP itself.  </w:t>
      </w:r>
    </w:p>
  </w:footnote>
  <w:footnote w:id="36">
    <w:p w14:paraId="7213A147" w14:textId="77777777" w:rsidR="00736C51" w:rsidRDefault="00736C51" w:rsidP="00223BFE">
      <w:pPr>
        <w:pStyle w:val="FootnoteText"/>
      </w:pPr>
      <w:r>
        <w:rPr>
          <w:rStyle w:val="FootnoteReference"/>
        </w:rPr>
        <w:footnoteRef/>
      </w:r>
      <w:r>
        <w:t xml:space="preserve"> </w:t>
      </w:r>
      <w:r w:rsidRPr="00205E1B">
        <w:rPr>
          <w:i/>
        </w:rPr>
        <w:t>E.g</w:t>
      </w:r>
      <w:r>
        <w:rPr>
          <w:i/>
        </w:rPr>
        <w:t>,</w:t>
      </w:r>
      <w:r w:rsidRPr="00205E1B">
        <w:rPr>
          <w:i/>
        </w:rPr>
        <w:t>.</w:t>
      </w:r>
      <w:r>
        <w:t xml:space="preserve"> </w:t>
      </w:r>
      <w:r>
        <w:rPr>
          <w:szCs w:val="26"/>
        </w:rPr>
        <w:t xml:space="preserve">SFPP Initial Comments, Vander Weide Affidavit at 8 (Table 1, Lines 11-15, showing the before-tax DCF ROE equaling the investor’s after-tax return), 12 (Table 2, Lines 11-15, showing the before-tax DCF ROE and investor’s pre-tax return equaling the investor’s after-tax return), 16 (Table 3, lines 11-15 showing for a pipeline with an income tax allowance, the before-tax DCF ROE and investor’s pre-tax return equaling the investor’s after-tax return).  </w:t>
      </w:r>
    </w:p>
  </w:footnote>
  <w:footnote w:id="37">
    <w:p w14:paraId="761F159A" w14:textId="667DB2B0" w:rsidR="00736C51" w:rsidRDefault="00736C51" w:rsidP="00223BFE">
      <w:pPr>
        <w:pStyle w:val="FootnoteText"/>
      </w:pPr>
      <w:r>
        <w:rPr>
          <w:rStyle w:val="FootnoteReference"/>
        </w:rPr>
        <w:footnoteRef/>
      </w:r>
      <w:r>
        <w:t xml:space="preserve"> In its West Line rate case, SFPP filed post-remand comments and supplemental comments following </w:t>
      </w:r>
      <w:r>
        <w:rPr>
          <w:i/>
        </w:rPr>
        <w:t>United Airlines</w:t>
      </w:r>
      <w:r>
        <w:t>.</w:t>
      </w:r>
      <w:r>
        <w:rPr>
          <w:i/>
        </w:rPr>
        <w:t xml:space="preserve">  </w:t>
      </w:r>
      <w:r>
        <w:t>In those comments, SFPP presented a hypothetical showing that an MLP recovering both an income tax allowance (Table 1, Column C) and a DCF ROE earns the same 6.5 percent investor after-tax return as an MLP without an income tax allowance (Table 1, Column D).  SFPP, L.P., Supplemental Reply Comments, Docket No. IS08-390, at 10 (November 30, 2016).  While the table does not show the investors’ pre-tax returns, since both pipelines were subject to a 35 percent investor level tax, both must have recovered a 10 percent pre-tax investor return.  Thus, in SFPP’s own example, the cost-of-service double-recovery of income tax costs of the pipeline in Column C inflated the unit price until it earned the same pre-tax return as the pipeline without an income tax allowance in Column D.</w:t>
      </w:r>
    </w:p>
  </w:footnote>
  <w:footnote w:id="38">
    <w:p w14:paraId="218CBC0B" w14:textId="77777777" w:rsidR="00736C51" w:rsidRPr="009C6351"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EE7ED6">
        <w:rPr>
          <w:szCs w:val="26"/>
        </w:rPr>
        <w:t>Federal Ene</w:t>
      </w:r>
      <w:r>
        <w:rPr>
          <w:szCs w:val="26"/>
        </w:rPr>
        <w:t xml:space="preserve">rgy Regulatory Commission and United States of America, Brief for Respondents, </w:t>
      </w:r>
      <w:r w:rsidRPr="00EE7ED6">
        <w:rPr>
          <w:szCs w:val="26"/>
        </w:rPr>
        <w:t>Case No. 11-1479</w:t>
      </w:r>
      <w:r>
        <w:rPr>
          <w:szCs w:val="26"/>
        </w:rPr>
        <w:t>, at 28-29</w:t>
      </w:r>
      <w:r w:rsidRPr="00EE7ED6">
        <w:rPr>
          <w:szCs w:val="26"/>
        </w:rPr>
        <w:t xml:space="preserve"> </w:t>
      </w:r>
      <w:r>
        <w:rPr>
          <w:szCs w:val="26"/>
        </w:rPr>
        <w:t>(D.C. Cir., filed Feb. 5, 2016)</w:t>
      </w:r>
      <w:r w:rsidRPr="009C6351">
        <w:rPr>
          <w:szCs w:val="26"/>
        </w:rPr>
        <w:t xml:space="preserve"> (citations omitted) (“In contrast to the way in which income taxes are grossed up outside the context of Commission regulation, the Commission does not gross up [i.e., increase] a jurisdictional entity’s operating revenues or return to cover the income taxes that must be paid to obtain its after-tax return.”)</w:t>
      </w:r>
      <w:r>
        <w:rPr>
          <w:szCs w:val="26"/>
        </w:rPr>
        <w:t>.</w:t>
      </w:r>
      <w:r w:rsidRPr="009C6351">
        <w:rPr>
          <w:szCs w:val="26"/>
        </w:rPr>
        <w:t xml:space="preserve">   </w:t>
      </w:r>
    </w:p>
  </w:footnote>
  <w:footnote w:id="39">
    <w:p w14:paraId="2F16B8A8" w14:textId="77777777" w:rsidR="00736C51" w:rsidRPr="007F3865"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9C6351">
        <w:rPr>
          <w:szCs w:val="26"/>
        </w:rPr>
        <w:t xml:space="preserve">INGAA Initial Comments at 24, Sullivan </w:t>
      </w:r>
      <w:r>
        <w:rPr>
          <w:szCs w:val="26"/>
        </w:rPr>
        <w:t>Affidavit</w:t>
      </w:r>
      <w:r w:rsidRPr="009C6351">
        <w:rPr>
          <w:szCs w:val="26"/>
        </w:rPr>
        <w:t xml:space="preserve"> at 6, 17-18, 22, 25-27, 30.</w:t>
      </w:r>
    </w:p>
  </w:footnote>
  <w:footnote w:id="40">
    <w:p w14:paraId="15B6C386" w14:textId="77777777" w:rsidR="00736C51" w:rsidRPr="009C6351"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30CE678A">
        <w:rPr>
          <w:i/>
          <w:iCs/>
          <w:szCs w:val="26"/>
        </w:rPr>
        <w:t>United Airlines</w:t>
      </w:r>
      <w:r>
        <w:rPr>
          <w:szCs w:val="26"/>
        </w:rPr>
        <w:t>, 827 F.3d at 136 (citing Opinion No. 511, 134 FERC ¶ 61,121 at PP 243-44).</w:t>
      </w:r>
    </w:p>
  </w:footnote>
  <w:footnote w:id="41">
    <w:p w14:paraId="1F77B1E4" w14:textId="77777777" w:rsidR="00736C51" w:rsidRPr="00562BE6"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562BE6">
        <w:rPr>
          <w:szCs w:val="26"/>
        </w:rPr>
        <w:t xml:space="preserve">INGAA Initial Comments, Erickson </w:t>
      </w:r>
      <w:r>
        <w:rPr>
          <w:szCs w:val="26"/>
        </w:rPr>
        <w:t>Affidavit</w:t>
      </w:r>
      <w:r w:rsidRPr="00562BE6">
        <w:rPr>
          <w:szCs w:val="26"/>
        </w:rPr>
        <w:t xml:space="preserve"> at 12.</w:t>
      </w:r>
    </w:p>
  </w:footnote>
  <w:footnote w:id="42">
    <w:p w14:paraId="4DF032DF" w14:textId="77777777" w:rsidR="00736C51" w:rsidRPr="00562BE6"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562BE6">
        <w:rPr>
          <w:szCs w:val="26"/>
        </w:rPr>
        <w:t xml:space="preserve">INGAA Initial Comments at 4, 25.  </w:t>
      </w:r>
    </w:p>
  </w:footnote>
  <w:footnote w:id="43">
    <w:p w14:paraId="12DC73F3" w14:textId="3ADC256E" w:rsidR="00736C51" w:rsidRPr="00562BE6" w:rsidRDefault="00736C51" w:rsidP="00223BFE">
      <w:pPr>
        <w:pStyle w:val="FootnoteText"/>
        <w:spacing w:after="240"/>
        <w:rPr>
          <w:szCs w:val="26"/>
        </w:rPr>
      </w:pPr>
      <w:r w:rsidRPr="006732DD">
        <w:rPr>
          <w:rStyle w:val="FootnoteReference"/>
          <w:bCs/>
        </w:rPr>
        <w:footnoteRef/>
      </w:r>
      <w:r w:rsidRPr="00562BE6">
        <w:rPr>
          <w:szCs w:val="26"/>
        </w:rPr>
        <w:t xml:space="preserve"> Erickson himself concedes that MLP unitholders must pay the entirety of the tax burden whereas corporate </w:t>
      </w:r>
      <w:r>
        <w:rPr>
          <w:szCs w:val="26"/>
        </w:rPr>
        <w:t>unit</w:t>
      </w:r>
      <w:r w:rsidRPr="00562BE6">
        <w:rPr>
          <w:szCs w:val="26"/>
        </w:rPr>
        <w:t xml:space="preserve">holders must only pay the dividend tax (not the corporate income tax).  INGAA Initial Comments, Erickson </w:t>
      </w:r>
      <w:r>
        <w:rPr>
          <w:szCs w:val="26"/>
        </w:rPr>
        <w:t>Affidavit</w:t>
      </w:r>
      <w:r w:rsidRPr="00562BE6">
        <w:rPr>
          <w:szCs w:val="26"/>
        </w:rPr>
        <w:t xml:space="preserve"> at 13.  Accordingly, it follows that whereas the DCF return for </w:t>
      </w:r>
      <w:r>
        <w:rPr>
          <w:szCs w:val="26"/>
        </w:rPr>
        <w:t>an</w:t>
      </w:r>
      <w:r w:rsidRPr="00562BE6">
        <w:rPr>
          <w:szCs w:val="26"/>
        </w:rPr>
        <w:t xml:space="preserve"> MLP </w:t>
      </w:r>
      <w:r>
        <w:rPr>
          <w:szCs w:val="26"/>
        </w:rPr>
        <w:t>p</w:t>
      </w:r>
      <w:r w:rsidRPr="00562BE6">
        <w:rPr>
          <w:szCs w:val="26"/>
        </w:rPr>
        <w:t xml:space="preserve">ipeline must include the entire income tax costs, </w:t>
      </w:r>
      <w:r w:rsidR="00C23C6F">
        <w:rPr>
          <w:szCs w:val="26"/>
        </w:rPr>
        <w:br/>
      </w:r>
      <w:r w:rsidRPr="00562BE6">
        <w:rPr>
          <w:szCs w:val="26"/>
        </w:rPr>
        <w:t xml:space="preserve">a </w:t>
      </w:r>
      <w:r>
        <w:rPr>
          <w:szCs w:val="26"/>
        </w:rPr>
        <w:t>corporate</w:t>
      </w:r>
      <w:r w:rsidRPr="00562BE6">
        <w:rPr>
          <w:szCs w:val="26"/>
        </w:rPr>
        <w:t xml:space="preserve"> </w:t>
      </w:r>
      <w:r>
        <w:rPr>
          <w:szCs w:val="26"/>
        </w:rPr>
        <w:t>p</w:t>
      </w:r>
      <w:r w:rsidRPr="00562BE6">
        <w:rPr>
          <w:szCs w:val="26"/>
        </w:rPr>
        <w:t xml:space="preserve">ipeline’s DCF return would not include the corporate income tax.  </w:t>
      </w:r>
    </w:p>
  </w:footnote>
  <w:footnote w:id="44">
    <w:p w14:paraId="2E58EA13" w14:textId="0BC33B63" w:rsidR="00736C51" w:rsidRDefault="00736C51" w:rsidP="00223BFE">
      <w:pPr>
        <w:spacing w:after="240"/>
        <w:ind w:firstLine="720"/>
        <w:rPr>
          <w:szCs w:val="26"/>
        </w:rPr>
      </w:pPr>
      <w:r w:rsidRPr="006732DD">
        <w:rPr>
          <w:rStyle w:val="FootnoteReference"/>
          <w:bCs/>
        </w:rPr>
        <w:footnoteRef/>
      </w:r>
      <w:r w:rsidRPr="006732DD">
        <w:rPr>
          <w:b/>
          <w:bCs/>
        </w:rPr>
        <w:t xml:space="preserve"> </w:t>
      </w:r>
      <w:r w:rsidRPr="006732DD">
        <w:t xml:space="preserve">When attacking models proposed by shippers, AOPL witness John Graham states that for such hypotheticals, “There are too many variables to draw broad-based conclusions.”  AOPL Initial Comments, Graham </w:t>
      </w:r>
      <w:r>
        <w:t>Affidavit at 8</w:t>
      </w:r>
      <w:r w:rsidRPr="006732DD">
        <w:t>.  This comment applies with equal force to Erickson’s model.  Erickson’s assumptions include (1) a five-year investment horizon</w:t>
      </w:r>
      <w:r w:rsidRPr="00197820">
        <w:t>;</w:t>
      </w:r>
      <w:r w:rsidRPr="006732DD">
        <w:t xml:space="preserve"> (2) that the MLP distributes all available cash and the corporation has a 65 percent dividend pay-out ratio; (3) certain tax rates for corporate income, corporate dividends and capital gains, and ordinary MLP income; and (4) that the corporate investors are able to sell their stock for the value of their original investment plus accumulated retained earnings, while the MLP investors sell their units for the value of their original investment.  The life-cycle model also assumes constant earnings before interest, taxes, depreciation and amortization and application of a fifteen-year Modified Accelerated Cost Recovery System.  The life-cycle analysis does not take into account the time value of money in reporting the total after-tax cash flow to the MLP and corporate investors.  </w:t>
      </w:r>
    </w:p>
  </w:footnote>
  <w:footnote w:id="45">
    <w:p w14:paraId="2418A89B" w14:textId="77777777" w:rsidR="00736C51" w:rsidRPr="00AC553E" w:rsidRDefault="00736C51" w:rsidP="00223BFE">
      <w:pPr>
        <w:pStyle w:val="FootnoteText"/>
        <w:spacing w:after="240"/>
        <w:rPr>
          <w:szCs w:val="26"/>
        </w:rPr>
      </w:pPr>
      <w:r w:rsidRPr="006732DD">
        <w:rPr>
          <w:rStyle w:val="FootnoteReference"/>
          <w:bCs/>
        </w:rPr>
        <w:footnoteRef/>
      </w:r>
      <w:r w:rsidRPr="006732DD">
        <w:rPr>
          <w:b/>
          <w:bCs/>
          <w:szCs w:val="26"/>
        </w:rPr>
        <w:t xml:space="preserve"> </w:t>
      </w:r>
      <w:r>
        <w:rPr>
          <w:szCs w:val="26"/>
        </w:rPr>
        <w:t xml:space="preserve">Thomas </w:t>
      </w:r>
      <w:r w:rsidRPr="00CF7E19">
        <w:rPr>
          <w:szCs w:val="26"/>
        </w:rPr>
        <w:t xml:space="preserve">Horst Reply Comments at 2.  An investor in a corporation usually must pay his dividend taxes immediately.  In contrast, </w:t>
      </w:r>
      <w:r>
        <w:rPr>
          <w:szCs w:val="26"/>
        </w:rPr>
        <w:t>an</w:t>
      </w:r>
      <w:r w:rsidRPr="00CF7E19">
        <w:rPr>
          <w:szCs w:val="26"/>
        </w:rPr>
        <w:t xml:space="preserve"> MLP investor can use depreciation </w:t>
      </w:r>
      <w:r>
        <w:rPr>
          <w:szCs w:val="26"/>
        </w:rPr>
        <w:t>and other deductions</w:t>
      </w:r>
      <w:r w:rsidRPr="00CF7E19">
        <w:rPr>
          <w:szCs w:val="26"/>
        </w:rPr>
        <w:t xml:space="preserve"> to </w:t>
      </w:r>
      <w:r>
        <w:rPr>
          <w:szCs w:val="26"/>
        </w:rPr>
        <w:t xml:space="preserve">offset taxable income.  As a result, an MLP investor may have no net taxable income in a given year.  NOI, </w:t>
      </w:r>
      <w:r w:rsidRPr="009C6351">
        <w:rPr>
          <w:szCs w:val="26"/>
        </w:rPr>
        <w:t>157 FERC ¶ 61,210</w:t>
      </w:r>
      <w:r>
        <w:rPr>
          <w:szCs w:val="26"/>
        </w:rPr>
        <w:t xml:space="preserve"> at P 6.  E</w:t>
      </w:r>
      <w:r w:rsidRPr="00CF7E19">
        <w:rPr>
          <w:szCs w:val="26"/>
        </w:rPr>
        <w:t>ven thou</w:t>
      </w:r>
      <w:r w:rsidRPr="00AC553E">
        <w:rPr>
          <w:szCs w:val="26"/>
        </w:rPr>
        <w:t xml:space="preserve">gh </w:t>
      </w:r>
      <w:r>
        <w:rPr>
          <w:szCs w:val="26"/>
        </w:rPr>
        <w:t>the investor may ultimately</w:t>
      </w:r>
      <w:r w:rsidRPr="00AC553E">
        <w:rPr>
          <w:szCs w:val="26"/>
        </w:rPr>
        <w:t xml:space="preserve"> </w:t>
      </w:r>
      <w:r>
        <w:rPr>
          <w:szCs w:val="26"/>
        </w:rPr>
        <w:t>be required</w:t>
      </w:r>
      <w:r w:rsidRPr="00AC553E">
        <w:rPr>
          <w:szCs w:val="26"/>
        </w:rPr>
        <w:t xml:space="preserve"> </w:t>
      </w:r>
      <w:r>
        <w:rPr>
          <w:szCs w:val="26"/>
        </w:rPr>
        <w:t xml:space="preserve">to </w:t>
      </w:r>
      <w:r w:rsidRPr="00AC553E">
        <w:rPr>
          <w:szCs w:val="26"/>
        </w:rPr>
        <w:t>pay such taxes</w:t>
      </w:r>
      <w:r>
        <w:rPr>
          <w:szCs w:val="26"/>
        </w:rPr>
        <w:t xml:space="preserve"> when the units are sold</w:t>
      </w:r>
      <w:r w:rsidRPr="00AC553E">
        <w:rPr>
          <w:szCs w:val="26"/>
        </w:rPr>
        <w:t xml:space="preserve">, the MLP investor benefits from the time value of money during the deferral period.  </w:t>
      </w:r>
    </w:p>
  </w:footnote>
  <w:footnote w:id="46">
    <w:p w14:paraId="610903A5" w14:textId="77777777" w:rsidR="00736C51" w:rsidRPr="0063200F" w:rsidRDefault="00736C51" w:rsidP="00223BFE">
      <w:pPr>
        <w:spacing w:after="240"/>
        <w:ind w:firstLine="720"/>
        <w:rPr>
          <w:szCs w:val="26"/>
        </w:rPr>
      </w:pPr>
      <w:r w:rsidRPr="006732DD">
        <w:rPr>
          <w:rStyle w:val="FootnoteReference"/>
          <w:bCs/>
        </w:rPr>
        <w:footnoteRef/>
      </w:r>
      <w:r w:rsidRPr="006732DD">
        <w:rPr>
          <w:b/>
          <w:bCs/>
        </w:rPr>
        <w:t xml:space="preserve"> </w:t>
      </w:r>
      <w:r w:rsidRPr="006732DD">
        <w:rPr>
          <w:i/>
          <w:iCs/>
        </w:rPr>
        <w:t>Id.</w:t>
      </w:r>
      <w:r w:rsidRPr="006732DD">
        <w:t xml:space="preserve">  Dr. Horst argues that when an MLP </w:t>
      </w:r>
      <w:r>
        <w:t>unit</w:t>
      </w:r>
      <w:r w:rsidRPr="006732DD">
        <w:t xml:space="preserve"> is sold, its basis increases – much like in the sale of any property or asset.  This only further increases the depreciation deferrals that are available to the subsequent investor. </w:t>
      </w:r>
    </w:p>
  </w:footnote>
  <w:footnote w:id="47">
    <w:p w14:paraId="31DDB9C4" w14:textId="77777777" w:rsidR="00736C51" w:rsidRDefault="00736C51" w:rsidP="00223BFE">
      <w:pPr>
        <w:pStyle w:val="FootnoteText"/>
        <w:spacing w:after="240"/>
      </w:pPr>
      <w:r w:rsidRPr="006732DD">
        <w:rPr>
          <w:rStyle w:val="FootnoteReference"/>
          <w:bCs/>
        </w:rPr>
        <w:footnoteRef/>
      </w:r>
      <w:r w:rsidRPr="006732DD">
        <w:rPr>
          <w:b/>
          <w:bCs/>
          <w:szCs w:val="26"/>
        </w:rPr>
        <w:t xml:space="preserve"> </w:t>
      </w:r>
      <w:r w:rsidRPr="00547681">
        <w:rPr>
          <w:szCs w:val="26"/>
        </w:rPr>
        <w:t xml:space="preserve">United Airlines Petitioners Reply Comments, Brattle Report at </w:t>
      </w:r>
      <w:r>
        <w:rPr>
          <w:szCs w:val="26"/>
        </w:rPr>
        <w:t xml:space="preserve">PP 73-74.  </w:t>
      </w:r>
    </w:p>
  </w:footnote>
  <w:footnote w:id="48">
    <w:p w14:paraId="222C7277" w14:textId="77777777" w:rsidR="00736C51" w:rsidRDefault="00736C51" w:rsidP="00223BFE">
      <w:pPr>
        <w:ind w:firstLine="720"/>
      </w:pPr>
      <w:r>
        <w:rPr>
          <w:rStyle w:val="FootnoteReference"/>
        </w:rPr>
        <w:footnoteRef/>
      </w:r>
      <w:r>
        <w:t xml:space="preserve"> </w:t>
      </w:r>
      <w:r w:rsidRPr="007F30CB">
        <w:rPr>
          <w:szCs w:val="26"/>
        </w:rPr>
        <w:t>AOPL Initial Comments at 46.  As noted above, the DCF relies upon the general formula k=D/P+g.  The growth rate in this formula incorporates two components: a short term growth rate (calculated using security analysts</w:t>
      </w:r>
      <w:r>
        <w:rPr>
          <w:szCs w:val="26"/>
        </w:rPr>
        <w:t>’</w:t>
      </w:r>
      <w:r w:rsidRPr="007F30CB">
        <w:rPr>
          <w:szCs w:val="26"/>
        </w:rPr>
        <w:t xml:space="preserve"> five</w:t>
      </w:r>
      <w:r>
        <w:rPr>
          <w:szCs w:val="26"/>
        </w:rPr>
        <w:t>-year</w:t>
      </w:r>
      <w:r w:rsidRPr="007F30CB">
        <w:rPr>
          <w:szCs w:val="26"/>
        </w:rPr>
        <w:t xml:space="preserve"> forecasts for each company in the proxy group as published by IBES) and a long</w:t>
      </w:r>
      <w:r>
        <w:rPr>
          <w:szCs w:val="26"/>
        </w:rPr>
        <w:t>-term</w:t>
      </w:r>
      <w:r w:rsidRPr="007F30CB">
        <w:rPr>
          <w:szCs w:val="26"/>
        </w:rPr>
        <w:t xml:space="preserve"> growth rate (based upon forecasts for gross domestic product (GDP) growth). </w:t>
      </w:r>
      <w:r>
        <w:rPr>
          <w:szCs w:val="26"/>
        </w:rPr>
        <w:t xml:space="preserve"> </w:t>
      </w:r>
      <w:r w:rsidRPr="007F30CB">
        <w:rPr>
          <w:szCs w:val="26"/>
        </w:rPr>
        <w:t>The short-term forecast receives a two-thirds weighting and the long-term forecast receives a one-third weighting in calculating the growth rate in the DCF model.</w:t>
      </w:r>
      <w:r>
        <w:rPr>
          <w:szCs w:val="26"/>
        </w:rPr>
        <w:t xml:space="preserve">  </w:t>
      </w:r>
      <w:r>
        <w:t>Proxy Group Policy Statement, 123 FERC ¶ 61,048 at P 6.</w:t>
      </w:r>
    </w:p>
    <w:p w14:paraId="1E30060A" w14:textId="77777777" w:rsidR="00736C51" w:rsidRDefault="00736C51" w:rsidP="00223BFE">
      <w:r>
        <w:rPr>
          <w:szCs w:val="26"/>
        </w:rPr>
        <w:t xml:space="preserve">  </w:t>
      </w:r>
    </w:p>
  </w:footnote>
  <w:footnote w:id="49">
    <w:p w14:paraId="33647A10" w14:textId="5E4E634B" w:rsidR="00736C51" w:rsidRDefault="00736C51" w:rsidP="00223BFE">
      <w:pPr>
        <w:pStyle w:val="FootnoteText"/>
      </w:pPr>
      <w:r>
        <w:rPr>
          <w:rStyle w:val="FootnoteReference"/>
        </w:rPr>
        <w:footnoteRef/>
      </w:r>
      <w:r>
        <w:t xml:space="preserve"> AOPL Initial Comments at 46. </w:t>
      </w:r>
    </w:p>
  </w:footnote>
  <w:footnote w:id="50">
    <w:p w14:paraId="30AB75C8" w14:textId="77777777" w:rsidR="00736C51" w:rsidRPr="00396A42" w:rsidRDefault="00736C51" w:rsidP="00223BFE">
      <w:pPr>
        <w:ind w:firstLine="720"/>
        <w:rPr>
          <w:szCs w:val="26"/>
        </w:rPr>
      </w:pPr>
      <w:r>
        <w:rPr>
          <w:rStyle w:val="FootnoteReference"/>
        </w:rPr>
        <w:footnoteRef/>
      </w:r>
      <w:r>
        <w:t xml:space="preserve"> The Commission explained corporations “(1) have greater opportunities for diversification because their investment opportunities are not limited to those that meet the tax qualifying standards for an MLP and (2) are able to assume greater risk at the margin because of less pressure to maintain a high payout ratio.”  </w:t>
      </w:r>
      <w:r w:rsidRPr="00E42924">
        <w:t>Proxy Group Policy Statement</w:t>
      </w:r>
      <w:r w:rsidRPr="00E42924">
        <w:rPr>
          <w:i/>
        </w:rPr>
        <w:t xml:space="preserve">, </w:t>
      </w:r>
      <w:r w:rsidRPr="00E42924">
        <w:t>123 FERC ¶ 61,048 at P 93.</w:t>
      </w:r>
      <w:r>
        <w:t xml:space="preserve">  Accordingly, the Commission concluded that the “long term growth rate for MLPs will be less than that of schedule C corporations….”  </w:t>
      </w:r>
      <w:r>
        <w:rPr>
          <w:i/>
        </w:rPr>
        <w:t xml:space="preserve">Id. </w:t>
      </w:r>
      <w:r>
        <w:t xml:space="preserve">P 94.  </w:t>
      </w:r>
      <w:r w:rsidRPr="00E42924">
        <w:rPr>
          <w:i/>
        </w:rPr>
        <w:t>See also</w:t>
      </w:r>
      <w:r>
        <w:t xml:space="preserve"> </w:t>
      </w:r>
      <w:r w:rsidRPr="00E42924">
        <w:rPr>
          <w:i/>
        </w:rPr>
        <w:t>El Paso Natural Gas Co.</w:t>
      </w:r>
      <w:r>
        <w:t xml:space="preserve">, Opinion No. 528-A, </w:t>
      </w:r>
      <w:r w:rsidRPr="002413EA">
        <w:t>154 FERC ¶ 61,120</w:t>
      </w:r>
      <w:r>
        <w:t>,</w:t>
      </w:r>
      <w:r w:rsidRPr="002413EA">
        <w:t xml:space="preserve"> </w:t>
      </w:r>
      <w:r>
        <w:t xml:space="preserve">at PP 271-275, 278-283 </w:t>
      </w:r>
      <w:r w:rsidRPr="002413EA">
        <w:t>(2016)</w:t>
      </w:r>
      <w:r>
        <w:t xml:space="preserve">. </w:t>
      </w:r>
    </w:p>
    <w:p w14:paraId="3CD23573" w14:textId="77777777" w:rsidR="00736C51" w:rsidRDefault="00736C51" w:rsidP="00223BFE">
      <w:pPr>
        <w:pStyle w:val="FootnoteText"/>
      </w:pPr>
    </w:p>
  </w:footnote>
  <w:footnote w:id="51">
    <w:p w14:paraId="675954AB" w14:textId="77777777" w:rsidR="00736C51" w:rsidRPr="00881D16" w:rsidRDefault="00736C51" w:rsidP="00223BFE">
      <w:pPr>
        <w:pStyle w:val="FootnoteText"/>
        <w:spacing w:after="240"/>
        <w:rPr>
          <w:szCs w:val="26"/>
        </w:rPr>
      </w:pPr>
      <w:r w:rsidRPr="00881D16">
        <w:rPr>
          <w:rStyle w:val="FootnoteReference"/>
          <w:bCs/>
        </w:rPr>
        <w:footnoteRef/>
      </w:r>
      <w:r w:rsidRPr="00881D16">
        <w:rPr>
          <w:b/>
          <w:bCs/>
          <w:szCs w:val="26"/>
        </w:rPr>
        <w:t xml:space="preserve"> </w:t>
      </w:r>
      <w:r w:rsidRPr="00881D16">
        <w:rPr>
          <w:szCs w:val="26"/>
        </w:rPr>
        <w:t xml:space="preserve">INGAA Initial Comments, Sullivan </w:t>
      </w:r>
      <w:r>
        <w:rPr>
          <w:szCs w:val="26"/>
        </w:rPr>
        <w:t>Affidavit</w:t>
      </w:r>
      <w:r w:rsidRPr="00881D16">
        <w:rPr>
          <w:szCs w:val="26"/>
        </w:rPr>
        <w:t xml:space="preserve"> at 41-48.</w:t>
      </w:r>
    </w:p>
  </w:footnote>
  <w:footnote w:id="52">
    <w:p w14:paraId="6912006E" w14:textId="77777777" w:rsidR="00736C51" w:rsidRPr="00881D16" w:rsidRDefault="00736C51" w:rsidP="00223BFE">
      <w:pPr>
        <w:pStyle w:val="FootnoteText"/>
        <w:spacing w:after="240"/>
        <w:rPr>
          <w:szCs w:val="26"/>
        </w:rPr>
      </w:pPr>
      <w:r w:rsidRPr="00881D16">
        <w:rPr>
          <w:rStyle w:val="FootnoteReference"/>
          <w:bCs/>
        </w:rPr>
        <w:footnoteRef/>
      </w:r>
      <w:r w:rsidRPr="00881D16">
        <w:rPr>
          <w:b/>
          <w:bCs/>
          <w:szCs w:val="26"/>
        </w:rPr>
        <w:t xml:space="preserve"> </w:t>
      </w:r>
      <w:r w:rsidRPr="00881D16">
        <w:rPr>
          <w:i/>
          <w:iCs/>
          <w:szCs w:val="26"/>
        </w:rPr>
        <w:t>Id.</w:t>
      </w:r>
      <w:r w:rsidRPr="00881D16">
        <w:rPr>
          <w:szCs w:val="26"/>
        </w:rPr>
        <w:t xml:space="preserve"> at 47-48.   </w:t>
      </w:r>
    </w:p>
  </w:footnote>
  <w:footnote w:id="53">
    <w:p w14:paraId="72A773C5" w14:textId="77777777" w:rsidR="00736C51" w:rsidRPr="00354765"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20776C">
        <w:rPr>
          <w:bCs/>
          <w:szCs w:val="26"/>
        </w:rPr>
        <w:t>Before t</w:t>
      </w:r>
      <w:r w:rsidRPr="0020776C">
        <w:rPr>
          <w:color w:val="000000" w:themeColor="text1"/>
        </w:rPr>
        <w:t xml:space="preserve">he Administrative Law Judge and the Commission, shippers argued that this disparity demonstrated the inclusion in the DCF ROE of the MLP investors’ income tax costs, which they argued generally exceeded the dividend taxes paid by </w:t>
      </w:r>
      <w:r>
        <w:rPr>
          <w:color w:val="000000" w:themeColor="text1"/>
        </w:rPr>
        <w:t>corporate</w:t>
      </w:r>
      <w:r w:rsidRPr="0020776C">
        <w:rPr>
          <w:color w:val="000000" w:themeColor="text1"/>
        </w:rPr>
        <w:t xml:space="preserve"> investors.</w:t>
      </w:r>
    </w:p>
  </w:footnote>
  <w:footnote w:id="54">
    <w:p w14:paraId="1D11376B" w14:textId="1080A708" w:rsidR="00736C51" w:rsidRPr="006732DD" w:rsidRDefault="00736C51" w:rsidP="00223BFE">
      <w:pPr>
        <w:spacing w:after="240"/>
        <w:ind w:firstLine="720"/>
      </w:pPr>
      <w:r w:rsidRPr="006732DD">
        <w:rPr>
          <w:rStyle w:val="FootnoteReference"/>
          <w:bCs/>
        </w:rPr>
        <w:footnoteRef/>
      </w:r>
      <w:r w:rsidRPr="006732DD">
        <w:rPr>
          <w:b/>
          <w:bCs/>
        </w:rPr>
        <w:t xml:space="preserve"> </w:t>
      </w:r>
      <w:r w:rsidRPr="006732DD">
        <w:t>While</w:t>
      </w:r>
      <w:r>
        <w:t xml:space="preserve"> historically</w:t>
      </w:r>
      <w:r w:rsidRPr="006732DD">
        <w:t xml:space="preserve"> </w:t>
      </w:r>
      <w:r>
        <w:t>a corporate investor’s</w:t>
      </w:r>
      <w:r w:rsidRPr="006732DD">
        <w:t xml:space="preserve"> dividend tax</w:t>
      </w:r>
      <w:r>
        <w:t xml:space="preserve"> rate</w:t>
      </w:r>
      <w:r w:rsidRPr="006732DD">
        <w:t xml:space="preserve"> </w:t>
      </w:r>
      <w:r>
        <w:t>has typically been less than the weighted average income tax rate for</w:t>
      </w:r>
      <w:r w:rsidRPr="006732DD">
        <w:t xml:space="preserve"> MLP investor</w:t>
      </w:r>
      <w:r>
        <w:t>s</w:t>
      </w:r>
      <w:r w:rsidRPr="006732DD">
        <w:t xml:space="preserve"> (AOPL Initial Comments, Graham </w:t>
      </w:r>
      <w:r>
        <w:t>Affidavit</w:t>
      </w:r>
      <w:r w:rsidRPr="006732DD">
        <w:t xml:space="preserve"> at 5-6), MLPs have various tax deferrals and other characteristics that may further narrow or eliminate this difference.  </w:t>
      </w:r>
      <w:r>
        <w:t>Nonetheless, any such conclusion based</w:t>
      </w:r>
      <w:r w:rsidR="00E85678">
        <w:br/>
      </w:r>
      <w:r w:rsidR="00E85678">
        <w:br/>
      </w:r>
      <w:r w:rsidR="00E85678">
        <w:br/>
      </w:r>
      <w:r w:rsidR="00E85678">
        <w:br/>
      </w:r>
      <w:r>
        <w:t xml:space="preserve">upon the pipeline commenters’ data is dubious, as it is based upon a small sample size of only two corporations and four MLPs.  </w:t>
      </w:r>
      <w:r w:rsidRPr="006732DD">
        <w:t xml:space="preserve">INGAA Initial Comments, Sullivan </w:t>
      </w:r>
      <w:r>
        <w:t>Affidavit</w:t>
      </w:r>
      <w:r w:rsidRPr="006732DD">
        <w:t xml:space="preserve"> at 47-48.</w:t>
      </w:r>
      <w:r w:rsidRPr="00197820">
        <w:t xml:space="preserve">  </w:t>
      </w:r>
    </w:p>
  </w:footnote>
  <w:footnote w:id="55">
    <w:p w14:paraId="3887B83F" w14:textId="77777777" w:rsidR="00736C51" w:rsidRPr="00362766" w:rsidRDefault="00736C51" w:rsidP="00223BFE">
      <w:pPr>
        <w:ind w:firstLine="720"/>
        <w:rPr>
          <w:szCs w:val="26"/>
        </w:rPr>
      </w:pPr>
      <w:r>
        <w:rPr>
          <w:rStyle w:val="FootnoteReference"/>
        </w:rPr>
        <w:footnoteRef/>
      </w:r>
      <w:r>
        <w:t xml:space="preserve"> </w:t>
      </w:r>
      <w:r>
        <w:rPr>
          <w:szCs w:val="26"/>
        </w:rPr>
        <w:t xml:space="preserve"> Likewise, the </w:t>
      </w:r>
      <w:r w:rsidRPr="00EB5E71">
        <w:rPr>
          <w:szCs w:val="26"/>
        </w:rPr>
        <w:t xml:space="preserve">December 22, 2017 </w:t>
      </w:r>
      <w:r>
        <w:rPr>
          <w:szCs w:val="26"/>
        </w:rPr>
        <w:t xml:space="preserve">Tax Cuts and Jobs Act does not alter the Commission’s analysis.  </w:t>
      </w:r>
      <w:r>
        <w:t>Tax Cuts and Jobs Act, Pub. L. No. 115-97, 131 Stat. 2054 (2017).</w:t>
      </w:r>
      <w:r>
        <w:rPr>
          <w:szCs w:val="26"/>
        </w:rPr>
        <w:t xml:space="preserve">    While the tax rates for both corporations and individuals have been reduced, the DCF ROE will continue to provide a pre-investor tax return.  As discussed above, investors will continue to demand a return that both covers the investor level tax costs and leaves the investor a sufficient after tax return compared to other investments of comparable risk.  </w:t>
      </w:r>
    </w:p>
    <w:p w14:paraId="49B42174" w14:textId="77777777" w:rsidR="00736C51" w:rsidRDefault="00736C51" w:rsidP="00223BFE">
      <w:pPr>
        <w:pStyle w:val="FootnoteText"/>
      </w:pPr>
    </w:p>
  </w:footnote>
  <w:footnote w:id="56">
    <w:p w14:paraId="1E742D71" w14:textId="77777777" w:rsidR="00736C51" w:rsidRPr="009C6351"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30CE678A">
        <w:rPr>
          <w:i/>
          <w:iCs/>
          <w:szCs w:val="26"/>
        </w:rPr>
        <w:t xml:space="preserve">See </w:t>
      </w:r>
      <w:r w:rsidRPr="009C6351">
        <w:rPr>
          <w:szCs w:val="26"/>
        </w:rPr>
        <w:t xml:space="preserve">INGAA Initial Comments at 31-35, Sullivan </w:t>
      </w:r>
      <w:r>
        <w:rPr>
          <w:szCs w:val="26"/>
        </w:rPr>
        <w:t>Affidavit</w:t>
      </w:r>
      <w:r w:rsidRPr="009C6351">
        <w:rPr>
          <w:szCs w:val="26"/>
        </w:rPr>
        <w:t xml:space="preserve"> at 42-</w:t>
      </w:r>
      <w:r>
        <w:rPr>
          <w:szCs w:val="26"/>
        </w:rPr>
        <w:t>6</w:t>
      </w:r>
      <w:r w:rsidRPr="009C6351">
        <w:rPr>
          <w:szCs w:val="26"/>
        </w:rPr>
        <w:t xml:space="preserve">9; AOPL Initial Comments at 3, 24, 28-30; </w:t>
      </w:r>
      <w:r>
        <w:rPr>
          <w:szCs w:val="26"/>
        </w:rPr>
        <w:t>Master Limited Partnership Association (MLPA)</w:t>
      </w:r>
      <w:r w:rsidRPr="009C6351">
        <w:rPr>
          <w:szCs w:val="26"/>
        </w:rPr>
        <w:t xml:space="preserve"> Initial Comments at 9.</w:t>
      </w:r>
    </w:p>
  </w:footnote>
  <w:footnote w:id="57">
    <w:p w14:paraId="6A001AC5" w14:textId="77777777" w:rsidR="00736C51" w:rsidRPr="009632A2" w:rsidRDefault="00736C51" w:rsidP="00223BFE">
      <w:pPr>
        <w:pStyle w:val="FootnoteText"/>
        <w:spacing w:after="240"/>
        <w:rPr>
          <w:i/>
          <w:szCs w:val="26"/>
        </w:rPr>
      </w:pPr>
      <w:r w:rsidRPr="006732DD">
        <w:rPr>
          <w:rStyle w:val="FootnoteReference"/>
          <w:bCs/>
        </w:rPr>
        <w:footnoteRef/>
      </w:r>
      <w:r w:rsidRPr="006732DD">
        <w:rPr>
          <w:b/>
          <w:bCs/>
          <w:szCs w:val="26"/>
        </w:rPr>
        <w:t xml:space="preserve"> </w:t>
      </w:r>
      <w:r>
        <w:rPr>
          <w:szCs w:val="26"/>
        </w:rPr>
        <w:t>I</w:t>
      </w:r>
      <w:r w:rsidRPr="009C6351">
        <w:rPr>
          <w:szCs w:val="26"/>
        </w:rPr>
        <w:t xml:space="preserve">NGAA Initial Comments, Sullivan </w:t>
      </w:r>
      <w:r>
        <w:rPr>
          <w:szCs w:val="26"/>
        </w:rPr>
        <w:t>Affidavit</w:t>
      </w:r>
      <w:r w:rsidRPr="009C6351">
        <w:rPr>
          <w:szCs w:val="26"/>
        </w:rPr>
        <w:t xml:space="preserve"> at 48-49.</w:t>
      </w:r>
      <w:r>
        <w:rPr>
          <w:szCs w:val="26"/>
        </w:rPr>
        <w:t xml:space="preserve">  INGAA witness Sullivan performed similar analysis for different components of the DCF, including both the dividend yield and the growth rate.  </w:t>
      </w:r>
      <w:r>
        <w:rPr>
          <w:i/>
          <w:szCs w:val="26"/>
        </w:rPr>
        <w:t xml:space="preserve">Id. </w:t>
      </w:r>
      <w:r>
        <w:rPr>
          <w:szCs w:val="26"/>
        </w:rPr>
        <w:t>at 65-69.</w:t>
      </w:r>
    </w:p>
  </w:footnote>
  <w:footnote w:id="58">
    <w:p w14:paraId="210FE5CA" w14:textId="77777777" w:rsidR="00736C51" w:rsidRPr="009C6351"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6732DD">
        <w:rPr>
          <w:i/>
          <w:iCs/>
          <w:szCs w:val="26"/>
        </w:rPr>
        <w:t xml:space="preserve">Id. </w:t>
      </w:r>
      <w:r w:rsidRPr="009C6351">
        <w:rPr>
          <w:szCs w:val="26"/>
        </w:rPr>
        <w:t>at 50-51.</w:t>
      </w:r>
    </w:p>
  </w:footnote>
  <w:footnote w:id="59">
    <w:p w14:paraId="79EF3146" w14:textId="77777777" w:rsidR="00736C51" w:rsidRPr="006C0A73" w:rsidRDefault="00736C51" w:rsidP="00223BFE">
      <w:pPr>
        <w:pStyle w:val="FootnoteText"/>
        <w:rPr>
          <w:szCs w:val="26"/>
        </w:rPr>
      </w:pPr>
      <w:r w:rsidRPr="006732DD">
        <w:rPr>
          <w:rStyle w:val="FootnoteReference"/>
          <w:bCs/>
        </w:rPr>
        <w:footnoteRef/>
      </w:r>
      <w:r w:rsidRPr="002123E0">
        <w:rPr>
          <w:szCs w:val="26"/>
        </w:rPr>
        <w:t xml:space="preserve"> In essence, investors would demand higher returns from the business form with the higher investor-level taxes.</w:t>
      </w:r>
    </w:p>
  </w:footnote>
  <w:footnote w:id="60">
    <w:p w14:paraId="684241CA" w14:textId="3DA8E15B" w:rsidR="00736C51" w:rsidRDefault="00736C51" w:rsidP="00223BFE">
      <w:pPr>
        <w:pStyle w:val="FootnoteText"/>
      </w:pPr>
      <w:r>
        <w:rPr>
          <w:rStyle w:val="FootnoteReference"/>
        </w:rPr>
        <w:footnoteRef/>
      </w:r>
      <w:r>
        <w:t xml:space="preserve"> </w:t>
      </w:r>
      <w:r>
        <w:rPr>
          <w:szCs w:val="26"/>
        </w:rPr>
        <w:t xml:space="preserve">INGAA witness Sullivan’s arguments involving distribution yields and growth rates are similarly flawed.  </w:t>
      </w:r>
    </w:p>
  </w:footnote>
  <w:footnote w:id="61">
    <w:p w14:paraId="50E2C9DC" w14:textId="77777777" w:rsidR="00736C51" w:rsidRPr="00124DA9" w:rsidRDefault="00736C51" w:rsidP="00223BFE">
      <w:pPr>
        <w:pStyle w:val="FootnoteText"/>
        <w:spacing w:after="240"/>
      </w:pPr>
      <w:r w:rsidRPr="006732DD">
        <w:rPr>
          <w:rStyle w:val="FootnoteReference"/>
          <w:bCs/>
        </w:rPr>
        <w:footnoteRef/>
      </w:r>
      <w:r w:rsidRPr="006732DD">
        <w:rPr>
          <w:b/>
          <w:bCs/>
          <w:szCs w:val="26"/>
        </w:rPr>
        <w:t xml:space="preserve"> </w:t>
      </w:r>
      <w:r>
        <w:rPr>
          <w:szCs w:val="26"/>
        </w:rPr>
        <w:t>For example, on page</w:t>
      </w:r>
      <w:r w:rsidRPr="00562BE6">
        <w:rPr>
          <w:szCs w:val="26"/>
        </w:rPr>
        <w:t xml:space="preserve"> 49 of his </w:t>
      </w:r>
      <w:r>
        <w:rPr>
          <w:szCs w:val="26"/>
        </w:rPr>
        <w:t>affidavit</w:t>
      </w:r>
      <w:r w:rsidRPr="00562BE6">
        <w:rPr>
          <w:szCs w:val="26"/>
        </w:rPr>
        <w:t xml:space="preserve">, INGAA </w:t>
      </w:r>
      <w:r>
        <w:rPr>
          <w:szCs w:val="26"/>
        </w:rPr>
        <w:t>consultant</w:t>
      </w:r>
      <w:r w:rsidRPr="00562BE6">
        <w:rPr>
          <w:szCs w:val="26"/>
        </w:rPr>
        <w:t xml:space="preserve"> Sullivan submitted a line-chart which purports to show that corporate and MLP DCF returns are not discernibly different.  However, (a) the y-axis is drawn so as to compress most of the returns to a narrow band, and (b) meaningful statistical differences could be completely obscured by this poor graphical presentation.</w:t>
      </w:r>
      <w:r>
        <w:rPr>
          <w:szCs w:val="26"/>
        </w:rPr>
        <w:t xml:space="preserve">  </w:t>
      </w:r>
      <w:r w:rsidRPr="00562BE6">
        <w:rPr>
          <w:szCs w:val="26"/>
        </w:rPr>
        <w:t xml:space="preserve">Similar criticisms apply to Sullivan’s comparison of MLP distributions to corporate dividends on page 65 of his </w:t>
      </w:r>
      <w:r>
        <w:rPr>
          <w:szCs w:val="26"/>
        </w:rPr>
        <w:t>affidavit and growth rates on page 68 of his affidavit</w:t>
      </w:r>
      <w:r w:rsidRPr="00562BE6">
        <w:rPr>
          <w:szCs w:val="26"/>
        </w:rPr>
        <w:t>.</w:t>
      </w:r>
      <w:r>
        <w:rPr>
          <w:szCs w:val="26"/>
        </w:rPr>
        <w:t xml:space="preserve">  </w:t>
      </w:r>
      <w:r w:rsidRPr="00562BE6">
        <w:rPr>
          <w:szCs w:val="26"/>
        </w:rPr>
        <w:t>It is possible that a more precise numerical example could actually present</w:t>
      </w:r>
      <w:r>
        <w:rPr>
          <w:szCs w:val="26"/>
        </w:rPr>
        <w:t xml:space="preserve"> facts undermining the pipeline</w:t>
      </w:r>
      <w:r w:rsidRPr="00562BE6">
        <w:rPr>
          <w:szCs w:val="26"/>
        </w:rPr>
        <w:t>s</w:t>
      </w:r>
      <w:r>
        <w:rPr>
          <w:szCs w:val="26"/>
        </w:rPr>
        <w:t>’</w:t>
      </w:r>
      <w:r w:rsidRPr="00562BE6">
        <w:rPr>
          <w:szCs w:val="26"/>
        </w:rPr>
        <w:t xml:space="preserve"> favored result.</w:t>
      </w:r>
      <w:r>
        <w:rPr>
          <w:szCs w:val="26"/>
        </w:rPr>
        <w:t xml:space="preserve"> </w:t>
      </w:r>
    </w:p>
  </w:footnote>
  <w:footnote w:id="62">
    <w:p w14:paraId="2766D0D8" w14:textId="4A702ED9" w:rsidR="00736C51" w:rsidRPr="00562BE6"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6732DD">
        <w:rPr>
          <w:i/>
          <w:iCs/>
          <w:szCs w:val="26"/>
        </w:rPr>
        <w:t>Id.</w:t>
      </w:r>
      <w:r w:rsidRPr="00562BE6">
        <w:rPr>
          <w:szCs w:val="26"/>
        </w:rPr>
        <w:t xml:space="preserve"> at 52-62.  Sullivan also adds a comparison between a completely unrelated MLP (Boardwalk Pipeline Partners) and a </w:t>
      </w:r>
      <w:r>
        <w:rPr>
          <w:szCs w:val="26"/>
        </w:rPr>
        <w:t>corporation</w:t>
      </w:r>
      <w:r w:rsidRPr="00562BE6">
        <w:rPr>
          <w:szCs w:val="26"/>
        </w:rPr>
        <w:t xml:space="preserve"> (Kinder Morgan).  Because these are completely different businesses, such a comparison is irrelevant for </w:t>
      </w:r>
      <w:r>
        <w:rPr>
          <w:szCs w:val="26"/>
        </w:rPr>
        <w:t xml:space="preserve">the purpose of </w:t>
      </w:r>
      <w:r w:rsidRPr="00562BE6">
        <w:rPr>
          <w:szCs w:val="26"/>
        </w:rPr>
        <w:t xml:space="preserve">identifying the effect of different tax levels on the DCF.    </w:t>
      </w:r>
    </w:p>
  </w:footnote>
  <w:footnote w:id="63">
    <w:p w14:paraId="2E66B2BB" w14:textId="77777777" w:rsidR="00736C51" w:rsidRPr="00562BE6"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562BE6">
        <w:rPr>
          <w:szCs w:val="26"/>
        </w:rPr>
        <w:t xml:space="preserve">For each of the four pairs, the DCF return for the corporation at times exceeded the return for the MLP whereas on other occasions the return for the MLP exceeded the </w:t>
      </w:r>
      <w:r>
        <w:rPr>
          <w:szCs w:val="26"/>
        </w:rPr>
        <w:t>corporation</w:t>
      </w:r>
      <w:r w:rsidRPr="00562BE6">
        <w:rPr>
          <w:szCs w:val="26"/>
        </w:rPr>
        <w:t xml:space="preserve">.  </w:t>
      </w:r>
      <w:r w:rsidRPr="006732DD">
        <w:rPr>
          <w:i/>
          <w:iCs/>
          <w:szCs w:val="26"/>
        </w:rPr>
        <w:t>Id.</w:t>
      </w:r>
      <w:r w:rsidRPr="00562BE6">
        <w:rPr>
          <w:szCs w:val="26"/>
        </w:rPr>
        <w:t xml:space="preserve">  Sullivan describes situations in which growth estimates or factors involving unrelated assets would affect the DCF return of the corporation but not the MLP. </w:t>
      </w:r>
    </w:p>
  </w:footnote>
  <w:footnote w:id="64">
    <w:p w14:paraId="34E3759E" w14:textId="77777777" w:rsidR="00736C51" w:rsidRDefault="00736C51" w:rsidP="00223BFE">
      <w:pPr>
        <w:pStyle w:val="FootnoteText"/>
      </w:pPr>
      <w:r>
        <w:rPr>
          <w:rStyle w:val="FootnoteReference"/>
        </w:rPr>
        <w:footnoteRef/>
      </w:r>
      <w:r>
        <w:t xml:space="preserve"> </w:t>
      </w:r>
      <w:r w:rsidRPr="006732DD">
        <w:rPr>
          <w:i/>
          <w:iCs/>
          <w:szCs w:val="26"/>
        </w:rPr>
        <w:t>Id.</w:t>
      </w:r>
      <w:r>
        <w:rPr>
          <w:szCs w:val="26"/>
        </w:rPr>
        <w:t xml:space="preserve"> at 58</w:t>
      </w:r>
      <w:r w:rsidRPr="00562BE6">
        <w:rPr>
          <w:szCs w:val="26"/>
        </w:rPr>
        <w:t xml:space="preserve">.  </w:t>
      </w:r>
    </w:p>
  </w:footnote>
  <w:footnote w:id="65">
    <w:p w14:paraId="15240565" w14:textId="77777777" w:rsidR="00736C51" w:rsidRDefault="00736C51" w:rsidP="00223BFE">
      <w:pPr>
        <w:pStyle w:val="FootnoteText"/>
      </w:pPr>
      <w:r>
        <w:rPr>
          <w:rStyle w:val="FootnoteReference"/>
        </w:rPr>
        <w:footnoteRef/>
      </w:r>
      <w:r>
        <w:t xml:space="preserve"> As explained in section II.A.1.a, whether or not a pipeline receives an income tax allowance, the DCF return will always be a pre-investor tax return.  However, to the extent a pipeline is permitted to start double-recovering its costs, the unit price will rise until the DCF once again provides investors with a pre-tax return.</w:t>
      </w:r>
    </w:p>
  </w:footnote>
  <w:footnote w:id="66">
    <w:p w14:paraId="21EFA2C0" w14:textId="77777777" w:rsidR="00736C51" w:rsidRPr="00562BE6"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30CE678A">
        <w:rPr>
          <w:i/>
          <w:iCs/>
          <w:szCs w:val="26"/>
        </w:rPr>
        <w:t xml:space="preserve">See </w:t>
      </w:r>
      <w:r w:rsidRPr="00562BE6">
        <w:rPr>
          <w:szCs w:val="26"/>
        </w:rPr>
        <w:t xml:space="preserve">INGAA Initial Comments at 12-13; MLPA Initial Comments at 3-4; AOPL Initial Comments at 7, 41-42; SFPP Initial Comments at 30; TransCanada Corporation Initial Comments at 2; Enbridge Initial Comments at 4; </w:t>
      </w:r>
      <w:r w:rsidRPr="00562BE6">
        <w:rPr>
          <w:color w:val="000000"/>
          <w:szCs w:val="26"/>
        </w:rPr>
        <w:t>Meliora Capital, LLC Initial Comments.</w:t>
      </w:r>
    </w:p>
  </w:footnote>
  <w:footnote w:id="67">
    <w:p w14:paraId="014355ED" w14:textId="0BDA9BE7" w:rsidR="00736C51" w:rsidRPr="00562BE6"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562BE6">
        <w:rPr>
          <w:szCs w:val="26"/>
        </w:rPr>
        <w:t>26 U.S.C</w:t>
      </w:r>
      <w:r>
        <w:rPr>
          <w:szCs w:val="26"/>
        </w:rPr>
        <w:t xml:space="preserve">. </w:t>
      </w:r>
      <w:r w:rsidRPr="00562BE6">
        <w:rPr>
          <w:szCs w:val="26"/>
        </w:rPr>
        <w:t xml:space="preserve">7704.     </w:t>
      </w:r>
    </w:p>
  </w:footnote>
  <w:footnote w:id="68">
    <w:p w14:paraId="0F442517" w14:textId="77777777" w:rsidR="00736C51" w:rsidRPr="00562BE6"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562BE6">
        <w:rPr>
          <w:szCs w:val="26"/>
        </w:rPr>
        <w:t>INGAA Initial Comments at 13-15.</w:t>
      </w:r>
    </w:p>
  </w:footnote>
  <w:footnote w:id="69">
    <w:p w14:paraId="444F9B7A" w14:textId="77777777" w:rsidR="00736C51" w:rsidRPr="00562BE6"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562BE6">
        <w:rPr>
          <w:szCs w:val="26"/>
        </w:rPr>
        <w:t xml:space="preserve">INGAA Initial Comments at 14; MLPA Initial Comments at 3-4.  </w:t>
      </w:r>
    </w:p>
  </w:footnote>
  <w:footnote w:id="70">
    <w:p w14:paraId="3D0C7E89" w14:textId="78B83AE8" w:rsidR="00736C51" w:rsidRPr="00C66107" w:rsidRDefault="00736C51" w:rsidP="00223BFE">
      <w:pPr>
        <w:pStyle w:val="FootnoteText"/>
        <w:spacing w:after="240"/>
        <w:rPr>
          <w:i/>
          <w:iCs/>
          <w:szCs w:val="26"/>
        </w:rPr>
      </w:pPr>
      <w:r w:rsidRPr="006732DD">
        <w:rPr>
          <w:rStyle w:val="FootnoteReference"/>
          <w:bCs/>
        </w:rPr>
        <w:footnoteRef/>
      </w:r>
      <w:r w:rsidRPr="006732DD">
        <w:rPr>
          <w:b/>
          <w:bCs/>
          <w:szCs w:val="26"/>
        </w:rPr>
        <w:t xml:space="preserve"> </w:t>
      </w:r>
      <w:r w:rsidRPr="006732DD">
        <w:rPr>
          <w:i/>
          <w:iCs/>
          <w:szCs w:val="26"/>
        </w:rPr>
        <w:t>Lakehead Pipe Line Co., L.P.</w:t>
      </w:r>
      <w:r w:rsidRPr="00562BE6">
        <w:rPr>
          <w:szCs w:val="26"/>
        </w:rPr>
        <w:t>, 75 FERC ¶ 61,181 (1996).  Senator Baucus participated in the writing of the 1987 legislation.  The letter states that “placing this obstacle in the path of pipeline companies wishing to operate as [publicly</w:t>
      </w:r>
      <w:r>
        <w:rPr>
          <w:szCs w:val="26"/>
        </w:rPr>
        <w:t>-</w:t>
      </w:r>
      <w:r w:rsidRPr="00562BE6">
        <w:rPr>
          <w:szCs w:val="26"/>
        </w:rPr>
        <w:t>traded partnerships] directly contravenes the policy we adopted in that legislation of making the [publicly</w:t>
      </w:r>
      <w:r>
        <w:rPr>
          <w:szCs w:val="26"/>
        </w:rPr>
        <w:t>-</w:t>
      </w:r>
      <w:r w:rsidRPr="00562BE6">
        <w:rPr>
          <w:szCs w:val="26"/>
        </w:rPr>
        <w:t xml:space="preserve">traded partnership] structure freely available to the pipeline industry” and “[i]t </w:t>
      </w:r>
      <w:r w:rsidR="005F49D4">
        <w:rPr>
          <w:szCs w:val="26"/>
        </w:rPr>
        <w:br/>
      </w:r>
      <w:r w:rsidRPr="00562BE6">
        <w:rPr>
          <w:szCs w:val="26"/>
        </w:rPr>
        <w:t>was certainly not our intention for pipelines operating as [publicly</w:t>
      </w:r>
      <w:r>
        <w:rPr>
          <w:szCs w:val="26"/>
        </w:rPr>
        <w:t>-</w:t>
      </w:r>
      <w:r w:rsidRPr="00562BE6">
        <w:rPr>
          <w:szCs w:val="26"/>
        </w:rPr>
        <w:t xml:space="preserve">traded partnerships] </w:t>
      </w:r>
      <w:r w:rsidR="00C23C6F">
        <w:rPr>
          <w:szCs w:val="26"/>
        </w:rPr>
        <w:br/>
      </w:r>
      <w:r w:rsidRPr="00562BE6">
        <w:rPr>
          <w:szCs w:val="26"/>
        </w:rPr>
        <w:t>to be singled out for negative treatment relative to other pipelines solely because of their</w:t>
      </w:r>
      <w:r w:rsidR="00C23C6F">
        <w:rPr>
          <w:szCs w:val="26"/>
        </w:rPr>
        <w:br/>
      </w:r>
      <w:r w:rsidR="00C23C6F">
        <w:rPr>
          <w:szCs w:val="26"/>
        </w:rPr>
        <w:br/>
      </w:r>
      <w:r w:rsidRPr="00562BE6">
        <w:rPr>
          <w:szCs w:val="26"/>
        </w:rPr>
        <w:t>partnership status.”  Letter from U.S. Senator Max Baucus, FERC Docket No. IS92-27-000 (Jan. 9, 1996).</w:t>
      </w:r>
    </w:p>
  </w:footnote>
  <w:footnote w:id="71">
    <w:p w14:paraId="235F1C72" w14:textId="28991CD4" w:rsidR="00736C51" w:rsidRDefault="00736C51" w:rsidP="00223BFE">
      <w:pPr>
        <w:pStyle w:val="FootnoteText"/>
      </w:pPr>
      <w:r>
        <w:rPr>
          <w:rStyle w:val="FootnoteReference"/>
        </w:rPr>
        <w:footnoteRef/>
      </w:r>
      <w:r>
        <w:t xml:space="preserve"> </w:t>
      </w:r>
      <w:r w:rsidRPr="30CE678A">
        <w:rPr>
          <w:i/>
          <w:iCs/>
          <w:szCs w:val="26"/>
        </w:rPr>
        <w:t>BP West Coast</w:t>
      </w:r>
      <w:r w:rsidRPr="00A21A62">
        <w:rPr>
          <w:szCs w:val="26"/>
        </w:rPr>
        <w:t>, 374 F.3</w:t>
      </w:r>
      <w:r w:rsidRPr="00562BE6">
        <w:rPr>
          <w:szCs w:val="26"/>
        </w:rPr>
        <w:t>d</w:t>
      </w:r>
      <w:r w:rsidRPr="30CE678A">
        <w:rPr>
          <w:i/>
          <w:iCs/>
          <w:szCs w:val="26"/>
        </w:rPr>
        <w:t xml:space="preserve"> </w:t>
      </w:r>
      <w:r w:rsidRPr="00562BE6">
        <w:rPr>
          <w:szCs w:val="26"/>
        </w:rPr>
        <w:t>at 1293</w:t>
      </w:r>
      <w:r>
        <w:rPr>
          <w:szCs w:val="26"/>
        </w:rPr>
        <w:t xml:space="preserve"> (</w:t>
      </w:r>
      <w:r w:rsidRPr="00FE3FCD">
        <w:t>“[t]he mandate of Congress in the tax amendment was exhausted when the pipeline limited partnership was exempted from corporate taxation.  It did not empower FERC to do anything….”</w:t>
      </w:r>
      <w:r>
        <w:t xml:space="preserve">); </w:t>
      </w:r>
      <w:r w:rsidRPr="30CE678A">
        <w:rPr>
          <w:i/>
          <w:iCs/>
          <w:szCs w:val="26"/>
        </w:rPr>
        <w:t>United Airlines</w:t>
      </w:r>
      <w:r w:rsidRPr="00562BE6">
        <w:rPr>
          <w:szCs w:val="26"/>
        </w:rPr>
        <w:t xml:space="preserve">, </w:t>
      </w:r>
      <w:r w:rsidR="005F49D4">
        <w:rPr>
          <w:szCs w:val="26"/>
        </w:rPr>
        <w:br/>
      </w:r>
      <w:r w:rsidRPr="00562BE6">
        <w:rPr>
          <w:szCs w:val="26"/>
        </w:rPr>
        <w:t>827 F.3d at 136</w:t>
      </w:r>
      <w:r>
        <w:rPr>
          <w:szCs w:val="26"/>
        </w:rPr>
        <w:t xml:space="preserve"> (rejecting </w:t>
      </w:r>
      <w:r w:rsidRPr="00FE3FCD">
        <w:t>the Commission’s argument that “any disparate treatment</w:t>
      </w:r>
      <w:r w:rsidR="005F49D4">
        <w:br/>
      </w:r>
      <w:r w:rsidR="005F49D4">
        <w:br/>
      </w:r>
      <w:r w:rsidRPr="00FE3FCD">
        <w:t xml:space="preserve">between partners in partnership pipelines and shareholders in corporate pipelines is the result of the Internal Revenue Code, </w:t>
      </w:r>
      <w:r>
        <w:t>not FERC’s tax allowance policy</w:t>
      </w:r>
      <w:r w:rsidRPr="00FE3FCD">
        <w:t>”</w:t>
      </w:r>
      <w:r>
        <w:t>).</w:t>
      </w:r>
    </w:p>
  </w:footnote>
  <w:footnote w:id="72">
    <w:p w14:paraId="12D3109E" w14:textId="77777777" w:rsidR="00736C51" w:rsidRPr="00C66107" w:rsidRDefault="00736C51" w:rsidP="00223BFE">
      <w:pPr>
        <w:pStyle w:val="FootnoteText"/>
        <w:spacing w:after="240"/>
        <w:rPr>
          <w:i/>
          <w:iCs/>
          <w:szCs w:val="26"/>
        </w:rPr>
      </w:pPr>
      <w:r w:rsidRPr="006732DD">
        <w:rPr>
          <w:rStyle w:val="FootnoteReference"/>
          <w:bCs/>
        </w:rPr>
        <w:footnoteRef/>
      </w:r>
      <w:r w:rsidRPr="006732DD">
        <w:rPr>
          <w:b/>
          <w:bCs/>
          <w:szCs w:val="26"/>
        </w:rPr>
        <w:t xml:space="preserve"> </w:t>
      </w:r>
      <w:r w:rsidRPr="30CE678A">
        <w:rPr>
          <w:i/>
          <w:iCs/>
          <w:szCs w:val="26"/>
        </w:rPr>
        <w:t>United Airlines</w:t>
      </w:r>
      <w:r w:rsidRPr="00562BE6">
        <w:rPr>
          <w:szCs w:val="26"/>
        </w:rPr>
        <w:t>, 827 F.3d at 136</w:t>
      </w:r>
      <w:r>
        <w:rPr>
          <w:szCs w:val="26"/>
        </w:rPr>
        <w:t>.</w:t>
      </w:r>
    </w:p>
  </w:footnote>
  <w:footnote w:id="73">
    <w:p w14:paraId="463130A6" w14:textId="14F3B0C8" w:rsidR="00736C51" w:rsidRDefault="00736C51" w:rsidP="00223BFE">
      <w:pPr>
        <w:pStyle w:val="FootnoteText"/>
      </w:pPr>
      <w:r>
        <w:rPr>
          <w:rStyle w:val="FootnoteReference"/>
        </w:rPr>
        <w:footnoteRef/>
      </w:r>
      <w:r>
        <w:t xml:space="preserve"> As the Commission explains in the Remand Order, </w:t>
      </w:r>
      <w:r w:rsidRPr="00FE3FCD">
        <w:t>Congress did not provide explicit instructions to federal agencies regarding how to address section 7704’s tax treatment in setting regulated entity rates as, for instance, it did in the Revenue Act of 1964.</w:t>
      </w:r>
      <w:r>
        <w:t xml:space="preserve">  </w:t>
      </w:r>
      <w:r w:rsidRPr="006732DD">
        <w:rPr>
          <w:i/>
          <w:iCs/>
          <w:szCs w:val="26"/>
        </w:rPr>
        <w:t>See Alabama-Tennessee Natural Gas Co. v. FPC</w:t>
      </w:r>
      <w:r w:rsidRPr="00562BE6">
        <w:rPr>
          <w:szCs w:val="26"/>
        </w:rPr>
        <w:t xml:space="preserve">, 359 F.2d 318, 333 (5th Cir. 1966) (“In </w:t>
      </w:r>
      <w:r w:rsidR="005F49D4">
        <w:rPr>
          <w:szCs w:val="26"/>
        </w:rPr>
        <w:br/>
      </w:r>
      <w:r w:rsidRPr="00562BE6">
        <w:rPr>
          <w:szCs w:val="26"/>
        </w:rPr>
        <w:t>the Revenue Acts of 1962 and 1964 Congress demonstrated that when it desires a tax statute to restrict the ratemaking authority of federal regulatory agencies it does so in precise language.”).</w:t>
      </w:r>
      <w:r>
        <w:rPr>
          <w:szCs w:val="26"/>
        </w:rPr>
        <w:t xml:space="preserve">  </w:t>
      </w:r>
      <w:r w:rsidRPr="00FE3FCD">
        <w:t>Courts are hesitant to find that Congress implicitly intended to restrict an agency’s discretion in carrying out its statutory obligations.</w:t>
      </w:r>
      <w:r>
        <w:t xml:space="preserve">  </w:t>
      </w:r>
      <w:r w:rsidRPr="006732DD">
        <w:rPr>
          <w:i/>
          <w:iCs/>
          <w:szCs w:val="26"/>
        </w:rPr>
        <w:t>See Alabama-Tennessee Natural Gas Co. v. FPC</w:t>
      </w:r>
      <w:r w:rsidRPr="00562BE6">
        <w:rPr>
          <w:szCs w:val="26"/>
        </w:rPr>
        <w:t xml:space="preserve">, 359 F.2d at 335 (“It is unlikely to suppose that Congress amended the Natural Gas Act by a reference in the Internal Revenue Code; it is unreasonable to read Section 167 [of the Code] as a mandate reducing the Commission’s responsibility to fix fair rates according to its usual ratemaking policies in favor of the consumer”); </w:t>
      </w:r>
      <w:r w:rsidRPr="006732DD">
        <w:rPr>
          <w:i/>
          <w:iCs/>
          <w:szCs w:val="26"/>
        </w:rPr>
        <w:t>see also</w:t>
      </w:r>
      <w:r w:rsidRPr="00562BE6">
        <w:rPr>
          <w:szCs w:val="26"/>
        </w:rPr>
        <w:t xml:space="preserve"> </w:t>
      </w:r>
      <w:r w:rsidRPr="006732DD">
        <w:rPr>
          <w:i/>
          <w:iCs/>
          <w:szCs w:val="26"/>
        </w:rPr>
        <w:t>Cheney R. Co. v. ICC</w:t>
      </w:r>
      <w:r w:rsidRPr="00562BE6">
        <w:rPr>
          <w:szCs w:val="26"/>
        </w:rPr>
        <w:t xml:space="preserve">, 902 F.2d 66, 69 (D.C. Cir. 1990) (“in an administrative setting, … Congress is presumed to have </w:t>
      </w:r>
      <w:r>
        <w:rPr>
          <w:szCs w:val="26"/>
        </w:rPr>
        <w:t>left to reasonable agency discretion questions that it has not directly resolved”).</w:t>
      </w:r>
    </w:p>
  </w:footnote>
  <w:footnote w:id="74">
    <w:p w14:paraId="6824336F" w14:textId="77777777" w:rsidR="00736C51" w:rsidRPr="00C66107" w:rsidRDefault="00736C51" w:rsidP="00223BFE">
      <w:pPr>
        <w:shd w:val="clear" w:color="auto" w:fill="FFFFFF" w:themeFill="background1"/>
        <w:spacing w:after="240"/>
        <w:ind w:firstLine="720"/>
        <w:rPr>
          <w:color w:val="212121"/>
        </w:rPr>
      </w:pPr>
      <w:r w:rsidRPr="006732DD">
        <w:rPr>
          <w:rStyle w:val="FootnoteReference"/>
          <w:bCs/>
        </w:rPr>
        <w:footnoteRef/>
      </w:r>
      <w:r w:rsidRPr="006732DD">
        <w:rPr>
          <w:b/>
          <w:bCs/>
        </w:rPr>
        <w:t xml:space="preserve"> </w:t>
      </w:r>
      <w:r w:rsidRPr="006732DD">
        <w:rPr>
          <w:i/>
          <w:iCs/>
        </w:rPr>
        <w:t>See Thomas v. Network Solutions, Inc.</w:t>
      </w:r>
      <w:r w:rsidRPr="006732DD">
        <w:t>, 176 F. 3d 500, 507 n.10 (D.C. Cir. 1999) (referring to letters from members of Congress written after the legislation in question was passed and noting that “[s]uch isolated post-enactment statements, to the extent that they are legislative history, carr</w:t>
      </w:r>
      <w:r w:rsidRPr="00197820">
        <w:t xml:space="preserve">y little weight”); </w:t>
      </w:r>
      <w:r w:rsidRPr="00197820">
        <w:rPr>
          <w:i/>
          <w:iCs/>
        </w:rPr>
        <w:t>U.S. v. United Mine Workers of America</w:t>
      </w:r>
      <w:r w:rsidRPr="00CF5C74">
        <w:t xml:space="preserve">, 330 U.S. 258, 282 (1947) (remarks of senators in 1943 were not an authoritative source of evidence of Congress’ legislative intent in enacting a 1932 statute); </w:t>
      </w:r>
      <w:r w:rsidRPr="00CA5E36">
        <w:rPr>
          <w:i/>
          <w:iCs/>
        </w:rPr>
        <w:t>D.C. v. Heller</w:t>
      </w:r>
      <w:r w:rsidRPr="00CA5E36">
        <w:t>, 554 U.S. 570, 605 (2008) (“post-enactment legislative history … a deprecatory contradiction in terms, refers to statements of those who drafted or voted for the law that are made after its enactment and hence c</w:t>
      </w:r>
      <w:r w:rsidRPr="00734AB8">
        <w:t xml:space="preserve">ould have no effect on the congressional vote”); </w:t>
      </w:r>
      <w:r w:rsidRPr="00734AB8">
        <w:rPr>
          <w:i/>
          <w:iCs/>
        </w:rPr>
        <w:t>Barber v. Thomas</w:t>
      </w:r>
      <w:r w:rsidRPr="00734AB8">
        <w:t xml:space="preserve">, 560 U.S. 474, 486 (2010) (“whatever interpretive force one attaches to legislative history, the Court normally gives little weight to statements, such as those of the individual legislators, made </w:t>
      </w:r>
      <w:r w:rsidRPr="00734AB8">
        <w:rPr>
          <w:i/>
          <w:iCs/>
        </w:rPr>
        <w:t xml:space="preserve">after </w:t>
      </w:r>
      <w:r w:rsidRPr="00734AB8">
        <w:t xml:space="preserve">the bill in question has become a law”); </w:t>
      </w:r>
      <w:r w:rsidRPr="00734AB8">
        <w:rPr>
          <w:i/>
          <w:iCs/>
        </w:rPr>
        <w:t>Friends of Earth, Inc. v. E.P.A.</w:t>
      </w:r>
      <w:r w:rsidRPr="00734AB8">
        <w:t xml:space="preserve">, 446 F.3d 140, 147 (D.C. Cir. 2006) (“‘[P]ost-enactment legislative history,’ after all, ‘is not only oxymoronic but inherently entitled to little weight’”) (quoting </w:t>
      </w:r>
      <w:r w:rsidRPr="00734AB8">
        <w:rPr>
          <w:i/>
          <w:iCs/>
        </w:rPr>
        <w:t>Cobell v. Norton</w:t>
      </w:r>
      <w:r w:rsidRPr="00734AB8">
        <w:t>, 428 F.3d 1070, 1075 (D.C. Cir. 2005)).</w:t>
      </w:r>
    </w:p>
  </w:footnote>
  <w:footnote w:id="75">
    <w:p w14:paraId="4FD60F14" w14:textId="77777777" w:rsidR="00736C51" w:rsidRPr="00562BE6" w:rsidRDefault="00736C51" w:rsidP="00223BFE">
      <w:pPr>
        <w:pStyle w:val="FootnoteText"/>
        <w:spacing w:after="240"/>
        <w:rPr>
          <w:szCs w:val="26"/>
        </w:rPr>
      </w:pPr>
      <w:r w:rsidRPr="006732DD">
        <w:rPr>
          <w:rStyle w:val="FootnoteReference"/>
          <w:bCs/>
        </w:rPr>
        <w:footnoteRef/>
      </w:r>
      <w:r w:rsidRPr="00B57D30">
        <w:rPr>
          <w:szCs w:val="26"/>
        </w:rPr>
        <w:t xml:space="preserve"> </w:t>
      </w:r>
      <w:r w:rsidRPr="006732DD">
        <w:rPr>
          <w:i/>
          <w:iCs/>
          <w:szCs w:val="26"/>
        </w:rPr>
        <w:t xml:space="preserve">See </w:t>
      </w:r>
      <w:r>
        <w:rPr>
          <w:szCs w:val="26"/>
        </w:rPr>
        <w:t xml:space="preserve">MLPA Initial Comments at 4 (citing the American Jobs Creation Act, Emergency Economic Stabilization Act of 2008, and the Tax Reform Act of 2014).  </w:t>
      </w:r>
    </w:p>
  </w:footnote>
  <w:footnote w:id="76">
    <w:p w14:paraId="620D3F5D" w14:textId="081F9332" w:rsidR="00736C51" w:rsidRPr="00562BE6" w:rsidRDefault="00736C51" w:rsidP="00223BFE">
      <w:pPr>
        <w:pStyle w:val="Default"/>
        <w:spacing w:after="240"/>
        <w:ind w:firstLine="720"/>
        <w:rPr>
          <w:sz w:val="26"/>
          <w:szCs w:val="26"/>
        </w:rPr>
      </w:pPr>
      <w:r w:rsidRPr="006732DD">
        <w:rPr>
          <w:rStyle w:val="FootnoteReference"/>
          <w:bCs/>
        </w:rPr>
        <w:footnoteRef/>
      </w:r>
      <w:r w:rsidRPr="006732DD">
        <w:rPr>
          <w:b/>
          <w:bCs/>
          <w:sz w:val="26"/>
          <w:szCs w:val="26"/>
        </w:rPr>
        <w:t xml:space="preserve"> </w:t>
      </w:r>
      <w:r>
        <w:rPr>
          <w:color w:val="auto"/>
          <w:sz w:val="26"/>
          <w:szCs w:val="26"/>
        </w:rPr>
        <w:t>An</w:t>
      </w:r>
      <w:r w:rsidRPr="00944B9A">
        <w:rPr>
          <w:color w:val="auto"/>
          <w:sz w:val="26"/>
          <w:szCs w:val="26"/>
        </w:rPr>
        <w:t xml:space="preserve"> MLP must receive at least 90 percent of its income from certain qualifying sources including “</w:t>
      </w:r>
      <w:r w:rsidRPr="00944B9A">
        <w:rPr>
          <w:color w:val="auto"/>
          <w:sz w:val="26"/>
          <w:szCs w:val="26"/>
          <w:shd w:val="clear" w:color="auto" w:fill="FFFFFF"/>
        </w:rPr>
        <w:t xml:space="preserve">the exploration, development, mining or production, processing, refining, transportation (including pipelines transporting gas, oil, or products thereof), or the marketing of any mineral or natural resource (including fertilizer, geothermal energy, and timber), industrial source carbon dioxide, or the transportation or storage of [certain fuels].”  </w:t>
      </w:r>
      <w:r>
        <w:rPr>
          <w:color w:val="auto"/>
          <w:sz w:val="26"/>
          <w:szCs w:val="26"/>
        </w:rPr>
        <w:t xml:space="preserve">26 U.S.C. </w:t>
      </w:r>
      <w:r w:rsidRPr="00944B9A">
        <w:rPr>
          <w:color w:val="auto"/>
          <w:sz w:val="26"/>
          <w:szCs w:val="26"/>
        </w:rPr>
        <w:t>7704.</w:t>
      </w:r>
    </w:p>
  </w:footnote>
  <w:footnote w:id="77">
    <w:p w14:paraId="3144CF78" w14:textId="77777777" w:rsidR="00736C51" w:rsidRPr="00562BE6"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6732DD">
        <w:rPr>
          <w:color w:val="000000"/>
          <w:szCs w:val="26"/>
        </w:rPr>
        <w:t xml:space="preserve">Pipeline </w:t>
      </w:r>
      <w:r>
        <w:rPr>
          <w:color w:val="000000"/>
          <w:szCs w:val="26"/>
        </w:rPr>
        <w:t>c</w:t>
      </w:r>
      <w:r w:rsidRPr="006732DD">
        <w:rPr>
          <w:color w:val="000000"/>
          <w:szCs w:val="26"/>
        </w:rPr>
        <w:t>ommenters explain that t</w:t>
      </w:r>
      <w:r w:rsidRPr="00562BE6">
        <w:rPr>
          <w:color w:val="000000"/>
          <w:szCs w:val="26"/>
        </w:rPr>
        <w:t xml:space="preserve">he MLP structure permits risk sharing by combining pass-through taxation and publicly-traded </w:t>
      </w:r>
      <w:r>
        <w:rPr>
          <w:color w:val="000000"/>
          <w:szCs w:val="26"/>
        </w:rPr>
        <w:t>units</w:t>
      </w:r>
      <w:r w:rsidRPr="00562BE6">
        <w:rPr>
          <w:color w:val="000000"/>
          <w:szCs w:val="26"/>
        </w:rPr>
        <w:t xml:space="preserve"> which allows MLPs to reach a broader base of investors and facilitates raising capital for infrastructure projects.  </w:t>
      </w:r>
      <w:r w:rsidRPr="00562BE6">
        <w:rPr>
          <w:szCs w:val="26"/>
        </w:rPr>
        <w:t>AOPL Initial Comments at 6, 39, 13; MLPA Initial Comments at 2-3.</w:t>
      </w:r>
    </w:p>
  </w:footnote>
  <w:footnote w:id="78">
    <w:p w14:paraId="37D7EBA9" w14:textId="77777777" w:rsidR="00736C51" w:rsidRPr="00562BE6"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562BE6">
        <w:rPr>
          <w:szCs w:val="26"/>
        </w:rPr>
        <w:t>AOPL Initial Comments at 43; INGAA Initial Comments at 7, 15; MLPA Initial Comments at 15.</w:t>
      </w:r>
    </w:p>
  </w:footnote>
  <w:footnote w:id="79">
    <w:p w14:paraId="71788DA8" w14:textId="77777777" w:rsidR="00736C51" w:rsidRPr="00562BE6"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30CE678A">
        <w:rPr>
          <w:i/>
          <w:iCs/>
          <w:szCs w:val="26"/>
        </w:rPr>
        <w:t>United Airlines</w:t>
      </w:r>
      <w:r w:rsidRPr="00562BE6">
        <w:rPr>
          <w:szCs w:val="26"/>
        </w:rPr>
        <w:t>, 827 F.3d at 136.</w:t>
      </w:r>
    </w:p>
  </w:footnote>
  <w:footnote w:id="80">
    <w:p w14:paraId="38DF4903" w14:textId="3386D669" w:rsidR="00736C51" w:rsidRPr="00787BEA" w:rsidRDefault="00736C51" w:rsidP="00223BFE">
      <w:pPr>
        <w:pStyle w:val="FootnoteText"/>
        <w:rPr>
          <w:i/>
        </w:rPr>
      </w:pPr>
      <w:r>
        <w:rPr>
          <w:rStyle w:val="FootnoteReference"/>
        </w:rPr>
        <w:footnoteRef/>
      </w:r>
      <w:r>
        <w:t xml:space="preserve"> While comments have presented hypotheticals in an attempt to show that MLPs require such a double recovery, they suffer from the same defects as the pipelines’ other arguments.  For instance, while SFPP attempts to include a hypothetical showing that an income tax allowance is necessary to equalize returns, this hypothetical depends upon the faulty investor gross-up theory discussed above.  </w:t>
      </w:r>
      <w:r>
        <w:rPr>
          <w:i/>
        </w:rPr>
        <w:t xml:space="preserve">See </w:t>
      </w:r>
      <w:r>
        <w:rPr>
          <w:szCs w:val="26"/>
        </w:rPr>
        <w:t>SFPP Initial Comments, Vander Weide Affidavit at 12 (Table 2, Lines 11-15, showing the before-tax DCF ROE and investor’s pre-tax return equaling the investor’s after-tax return).</w:t>
      </w:r>
    </w:p>
  </w:footnote>
  <w:footnote w:id="81">
    <w:p w14:paraId="6900CFFB" w14:textId="616933F6" w:rsidR="00736C51" w:rsidRDefault="00736C51" w:rsidP="00223BFE">
      <w:pPr>
        <w:pStyle w:val="FootnoteText"/>
      </w:pPr>
      <w:r>
        <w:rPr>
          <w:rStyle w:val="FootnoteReference"/>
        </w:rPr>
        <w:footnoteRef/>
      </w:r>
      <w:r>
        <w:t xml:space="preserve"> INGAA Initial Comments at 27-28; AOPL Initial Comments at 7, 35-37.</w:t>
      </w:r>
    </w:p>
  </w:footnote>
  <w:footnote w:id="82">
    <w:p w14:paraId="5F37AC7E" w14:textId="77777777" w:rsidR="00736C51" w:rsidRPr="00920575" w:rsidRDefault="00736C51" w:rsidP="00223BFE">
      <w:pPr>
        <w:pStyle w:val="FootnoteText"/>
        <w:spacing w:after="240"/>
        <w:rPr>
          <w:szCs w:val="26"/>
        </w:rPr>
      </w:pPr>
      <w:r w:rsidRPr="006732DD">
        <w:rPr>
          <w:rStyle w:val="FootnoteReference"/>
          <w:bCs/>
        </w:rPr>
        <w:footnoteRef/>
      </w:r>
      <w:r w:rsidRPr="006732DD">
        <w:rPr>
          <w:b/>
          <w:bCs/>
          <w:szCs w:val="26"/>
        </w:rPr>
        <w:t xml:space="preserve"> </w:t>
      </w:r>
      <w:r w:rsidRPr="006732DD">
        <w:rPr>
          <w:i/>
          <w:iCs/>
          <w:szCs w:val="26"/>
        </w:rPr>
        <w:t>See</w:t>
      </w:r>
      <w:r>
        <w:rPr>
          <w:szCs w:val="26"/>
        </w:rPr>
        <w:t>,</w:t>
      </w:r>
      <w:r w:rsidRPr="006732DD">
        <w:rPr>
          <w:i/>
          <w:iCs/>
          <w:szCs w:val="26"/>
        </w:rPr>
        <w:t xml:space="preserve"> e.g.</w:t>
      </w:r>
      <w:r w:rsidRPr="00920575">
        <w:rPr>
          <w:szCs w:val="26"/>
        </w:rPr>
        <w:t>, Initial</w:t>
      </w:r>
      <w:r w:rsidRPr="006732DD">
        <w:rPr>
          <w:i/>
          <w:iCs/>
          <w:szCs w:val="26"/>
        </w:rPr>
        <w:t xml:space="preserve"> </w:t>
      </w:r>
      <w:r w:rsidRPr="00920575">
        <w:rPr>
          <w:szCs w:val="26"/>
        </w:rPr>
        <w:t>Comments of the United Airlines Petitioners and Allied Shippers at 14 (</w:t>
      </w:r>
      <w:r w:rsidRPr="006732DD">
        <w:rPr>
          <w:color w:val="000000" w:themeColor="text1"/>
          <w:szCs w:val="26"/>
        </w:rPr>
        <w:t>“</w:t>
      </w:r>
      <w:r w:rsidRPr="00920575">
        <w:rPr>
          <w:szCs w:val="26"/>
        </w:rPr>
        <w:t xml:space="preserve">A generic proceeding is not well-suited to addressing the wide array of possible organizational forms and their respective tax implications. </w:t>
      </w:r>
      <w:r>
        <w:rPr>
          <w:szCs w:val="26"/>
        </w:rPr>
        <w:t xml:space="preserve"> </w:t>
      </w:r>
      <w:r w:rsidRPr="00920575">
        <w:rPr>
          <w:szCs w:val="26"/>
        </w:rPr>
        <w:t>The better approach would be to examine the appropriate tax allowance treatment on a case-by-case basis in adjudicatory proceedings in which various business structures and their consequences can be examined in detail on an individual, case-specific basis.”); Liquids Shipper Group Initial Comments at 7</w:t>
      </w:r>
      <w:r w:rsidRPr="006732DD">
        <w:rPr>
          <w:b/>
          <w:bCs/>
          <w:szCs w:val="26"/>
        </w:rPr>
        <w:t xml:space="preserve"> </w:t>
      </w:r>
      <w:r w:rsidRPr="00920575">
        <w:rPr>
          <w:szCs w:val="26"/>
        </w:rPr>
        <w:t>(“To the extent there may be individual and complex pipeline ownership structures that include both partnerships and corporations, the application of the FERC’s policy can be determined on a case-by-case basis, addressing those unique circumstances.”).</w:t>
      </w:r>
    </w:p>
  </w:footnote>
  <w:footnote w:id="83">
    <w:p w14:paraId="75E15595" w14:textId="6FD8B160" w:rsidR="00736C51" w:rsidRDefault="00736C51" w:rsidP="00223BFE">
      <w:pPr>
        <w:pStyle w:val="FootnoteText"/>
      </w:pPr>
      <w:r>
        <w:rPr>
          <w:rStyle w:val="FootnoteReference"/>
        </w:rPr>
        <w:footnoteRef/>
      </w:r>
      <w:r>
        <w:t xml:space="preserve"> </w:t>
      </w:r>
      <w:r w:rsidRPr="0082190B">
        <w:rPr>
          <w:i/>
        </w:rPr>
        <w:t>See</w:t>
      </w:r>
      <w:r w:rsidRPr="0082190B">
        <w:t xml:space="preserve"> Docket No. RM18-11-000.</w:t>
      </w:r>
      <w:r w:rsidRPr="006F6FD5">
        <w:t xml:space="preserve"> </w:t>
      </w:r>
    </w:p>
  </w:footnote>
  <w:footnote w:id="84">
    <w:p w14:paraId="21D78E1A" w14:textId="558F03E2" w:rsidR="00736C51" w:rsidRDefault="00736C51" w:rsidP="007720A2">
      <w:pPr>
        <w:ind w:firstLine="720"/>
      </w:pPr>
      <w:r>
        <w:rPr>
          <w:rStyle w:val="FootnoteReference"/>
        </w:rPr>
        <w:footnoteRef/>
      </w:r>
      <w:r>
        <w:t xml:space="preserve"> Due to these findings that including an income tax allowance in</w:t>
      </w:r>
      <w:r w:rsidR="00E64AF5">
        <w:t xml:space="preserve"> the cost of </w:t>
      </w:r>
      <w:r>
        <w:t xml:space="preserve">service leads to a double-recovery, there is no basis for an MLP pipeline to claim an income tax allowance in the summary Form No. </w:t>
      </w:r>
      <w:r w:rsidR="0094574D">
        <w:t>6, page 700 cost of service</w:t>
      </w:r>
      <w:r w:rsidR="00F041D1">
        <w:t xml:space="preserve"> </w:t>
      </w:r>
      <w:r w:rsidR="00F041D1" w:rsidRPr="007720A2">
        <w:rPr>
          <w:szCs w:val="20"/>
        </w:rPr>
        <w:t>for the 2016 or 2017 data listed in the April 18, 2018 filing</w:t>
      </w:r>
      <w:r w:rsidR="00700C3C" w:rsidRPr="007720A2">
        <w:rPr>
          <w:szCs w:val="20"/>
        </w:rPr>
        <w:t>.</w:t>
      </w:r>
    </w:p>
    <w:p w14:paraId="0EA835FD" w14:textId="77777777" w:rsidR="00736C51" w:rsidRDefault="00736C51" w:rsidP="004D0967">
      <w:pPr>
        <w:ind w:firstLine="720"/>
      </w:pPr>
    </w:p>
  </w:footnote>
  <w:footnote w:id="85">
    <w:p w14:paraId="037B17BB" w14:textId="7DD4BFD7" w:rsidR="00736C51" w:rsidRDefault="00736C51">
      <w:pPr>
        <w:pStyle w:val="FootnoteText"/>
      </w:pPr>
      <w:r>
        <w:rPr>
          <w:rStyle w:val="FootnoteReference"/>
        </w:rPr>
        <w:footnoteRef/>
      </w:r>
      <w:r>
        <w:t xml:space="preserve"> The Tax Cuts and Jobs Act changed oil pipeline tax costs effective January 1, 2018, and the resulting reduction to tax costs should be reflected in the tax allowance </w:t>
      </w:r>
      <w:r w:rsidR="00AC2684">
        <w:br/>
      </w:r>
      <w:r>
        <w:t>(page 700, lines 8 and 8a) in the 2018</w:t>
      </w:r>
      <w:r w:rsidR="00E31558">
        <w:t xml:space="preserve"> data reported in</w:t>
      </w:r>
      <w:r>
        <w:t xml:space="preserve"> Form No. 6, page 700, to be filed </w:t>
      </w:r>
      <w:r w:rsidR="00AC2684">
        <w:br/>
      </w:r>
      <w:r>
        <w:t xml:space="preserve">on April 18, 2019.  </w:t>
      </w:r>
    </w:p>
  </w:footnote>
  <w:footnote w:id="86">
    <w:p w14:paraId="70B00A83" w14:textId="134BEE76" w:rsidR="00736C51" w:rsidRDefault="00736C51" w:rsidP="00223BFE">
      <w:pPr>
        <w:pStyle w:val="FootnoteText"/>
      </w:pPr>
      <w:r>
        <w:rPr>
          <w:rStyle w:val="FootnoteReference"/>
        </w:rPr>
        <w:footnoteRef/>
      </w:r>
      <w:r>
        <w:t xml:space="preserve"> The overwhelming majority of oil pipelines set their rates using indexing, not </w:t>
      </w:r>
      <w:r w:rsidR="00AC2684">
        <w:br/>
      </w:r>
      <w:r>
        <w:t>cost-of-service ratemaking using an oil pipeline’s particular costs.  U</w:t>
      </w:r>
      <w:r w:rsidRPr="00B71C66">
        <w:rPr>
          <w:szCs w:val="26"/>
        </w:rPr>
        <w:t>nder indexing, oil pipelines may adjust their rates annually, so long as those rates remain at or below the applicable ceiling levels.  The ceiling levels change every July 1 based on an index that tracks industry-wide cost changes</w:t>
      </w:r>
      <w:r>
        <w:rPr>
          <w:szCs w:val="26"/>
        </w:rPr>
        <w:t>.  18 CFR § 342.3</w:t>
      </w:r>
      <w:r w:rsidRPr="0049398C">
        <w:rPr>
          <w:szCs w:val="26"/>
        </w:rPr>
        <w:t>.</w:t>
      </w:r>
      <w:r>
        <w:rPr>
          <w:szCs w:val="26"/>
        </w:rPr>
        <w:t xml:space="preserve">  </w:t>
      </w:r>
      <w:r w:rsidRPr="00CA251C">
        <w:rPr>
          <w:szCs w:val="26"/>
        </w:rPr>
        <w:t>Currently, the index level is based upon the Producer’s Price Index for Finished Goods plus 1.23</w:t>
      </w:r>
      <w:r>
        <w:rPr>
          <w:szCs w:val="26"/>
        </w:rPr>
        <w:t xml:space="preserve">.  The index will be re-assessed in 2020 based upon industry-wide oil pipeline cost changes between 2014 and 2019.  </w:t>
      </w:r>
      <w:r>
        <w:rPr>
          <w:i/>
          <w:szCs w:val="26"/>
        </w:rPr>
        <w:t xml:space="preserve">E.g. </w:t>
      </w:r>
      <w:r w:rsidRPr="003E3759">
        <w:rPr>
          <w:i/>
          <w:szCs w:val="26"/>
        </w:rPr>
        <w:t>Five-Year Review of the Oil Pipeline Index</w:t>
      </w:r>
      <w:r w:rsidRPr="003E3759">
        <w:rPr>
          <w:szCs w:val="26"/>
        </w:rPr>
        <w:t>, 153 FERC ¶ 61,312 (2015)</w:t>
      </w:r>
      <w:r w:rsidRPr="003E3759">
        <w:rPr>
          <w:bCs/>
          <w:i/>
          <w:szCs w:val="26"/>
          <w:shd w:val="clear" w:color="auto" w:fill="FFFFFF"/>
        </w:rPr>
        <w:t xml:space="preserve"> </w:t>
      </w:r>
      <w:r w:rsidRPr="003E3759">
        <w:rPr>
          <w:rStyle w:val="cosearchterm"/>
          <w:bCs/>
          <w:i/>
          <w:szCs w:val="26"/>
          <w:shd w:val="clear" w:color="auto" w:fill="FFFFFF"/>
        </w:rPr>
        <w:t>aff’d, Assoc. of Oil Pipe Lines v. FERC</w:t>
      </w:r>
      <w:r w:rsidRPr="003E3759">
        <w:rPr>
          <w:rStyle w:val="cosearchterm"/>
          <w:bCs/>
          <w:szCs w:val="26"/>
          <w:shd w:val="clear" w:color="auto" w:fill="FFFFFF"/>
        </w:rPr>
        <w:t>, 876 F</w:t>
      </w:r>
      <w:r w:rsidRPr="003E3759">
        <w:rPr>
          <w:rStyle w:val="cosearchterm"/>
          <w:szCs w:val="26"/>
          <w:shd w:val="clear" w:color="auto" w:fill="FFFFFF"/>
        </w:rPr>
        <w:t>.</w:t>
      </w:r>
      <w:r w:rsidRPr="003E3759">
        <w:rPr>
          <w:rStyle w:val="cosearchterm"/>
          <w:bCs/>
          <w:szCs w:val="26"/>
          <w:shd w:val="clear" w:color="auto" w:fill="FFFFFF"/>
        </w:rPr>
        <w:t>3d</w:t>
      </w:r>
      <w:r w:rsidRPr="003E3759">
        <w:rPr>
          <w:rStyle w:val="cosearchterm"/>
          <w:szCs w:val="26"/>
          <w:shd w:val="clear" w:color="auto" w:fill="FFFFFF"/>
        </w:rPr>
        <w:t> </w:t>
      </w:r>
      <w:r w:rsidRPr="003E3759">
        <w:rPr>
          <w:rStyle w:val="cosearchterm"/>
          <w:bCs/>
          <w:szCs w:val="26"/>
          <w:shd w:val="clear" w:color="auto" w:fill="FFFFFF"/>
        </w:rPr>
        <w:t>336</w:t>
      </w:r>
      <w:r w:rsidRPr="003E3759">
        <w:rPr>
          <w:rStyle w:val="cosearchterm"/>
          <w:szCs w:val="26"/>
          <w:shd w:val="clear" w:color="auto" w:fill="FFFFFF"/>
        </w:rPr>
        <w:t> (</w:t>
      </w:r>
      <w:r w:rsidRPr="003E3759">
        <w:rPr>
          <w:rStyle w:val="cosearchterm"/>
          <w:bCs/>
          <w:szCs w:val="26"/>
          <w:shd w:val="clear" w:color="auto" w:fill="FFFFFF"/>
        </w:rPr>
        <w:t>D.C</w:t>
      </w:r>
      <w:r w:rsidRPr="003E3759">
        <w:rPr>
          <w:rStyle w:val="cosearchterm"/>
          <w:szCs w:val="26"/>
          <w:shd w:val="clear" w:color="auto" w:fill="FFFFFF"/>
        </w:rPr>
        <w:t>. </w:t>
      </w:r>
      <w:r w:rsidRPr="003E3759">
        <w:rPr>
          <w:rStyle w:val="cosearchterm"/>
          <w:bCs/>
          <w:szCs w:val="26"/>
          <w:shd w:val="clear" w:color="auto" w:fill="FFFFFF"/>
        </w:rPr>
        <w:t>Cir</w:t>
      </w:r>
      <w:r w:rsidRPr="003E3759">
        <w:rPr>
          <w:rStyle w:val="cosearchterm"/>
          <w:szCs w:val="26"/>
          <w:shd w:val="clear" w:color="auto" w:fill="FFFFFF"/>
        </w:rPr>
        <w:t>. </w:t>
      </w:r>
      <w:r w:rsidRPr="003E3759">
        <w:rPr>
          <w:rStyle w:val="cosearchterm"/>
          <w:bCs/>
          <w:szCs w:val="26"/>
          <w:shd w:val="clear" w:color="auto" w:fill="FFFFFF"/>
        </w:rPr>
        <w:t>2017</w:t>
      </w:r>
      <w:r w:rsidRPr="003E3759">
        <w:rPr>
          <w:rStyle w:val="cosearchterm"/>
          <w:szCs w:val="26"/>
          <w:shd w:val="clear" w:color="auto" w:fill="FFFFFF"/>
        </w:rPr>
        <w:t>)</w:t>
      </w:r>
      <w:r w:rsidRPr="003E3759">
        <w:rPr>
          <w:szCs w:val="26"/>
          <w:shd w:val="clear" w:color="auto" w:fill="FFFFFF"/>
        </w:rPr>
        <w:t>.</w:t>
      </w:r>
      <w:r>
        <w:rPr>
          <w:szCs w:val="26"/>
          <w:shd w:val="clear" w:color="auto" w:fill="FFFFFF"/>
        </w:rPr>
        <w:t xml:space="preserve">  The industry-wide data filed in the latter years of the 2014-2019 period should reflect the Commission’s post-</w:t>
      </w:r>
      <w:r>
        <w:rPr>
          <w:i/>
          <w:szCs w:val="26"/>
          <w:shd w:val="clear" w:color="auto" w:fill="FFFFFF"/>
        </w:rPr>
        <w:t xml:space="preserve">United Airlines </w:t>
      </w:r>
      <w:r w:rsidRPr="00C956FF">
        <w:rPr>
          <w:szCs w:val="26"/>
          <w:shd w:val="clear" w:color="auto" w:fill="FFFFFF"/>
        </w:rPr>
        <w:t>policy</w:t>
      </w:r>
      <w:r w:rsidRPr="00E50179">
        <w:rPr>
          <w:szCs w:val="26"/>
          <w:shd w:val="clear" w:color="auto" w:fill="FFFFFF"/>
        </w:rPr>
        <w:t xml:space="preserve"> changes as well as the Tax Cuts and Jobs Act</w:t>
      </w:r>
      <w:r w:rsidRPr="00C956FF">
        <w:rPr>
          <w:szCs w:val="26"/>
          <w:shd w:val="clear" w:color="auto" w:fill="FFFFFF"/>
        </w:rPr>
        <w:t>.</w:t>
      </w:r>
      <w:r>
        <w:rPr>
          <w:szCs w:val="26"/>
        </w:rPr>
        <w:t xml:space="preserve"> </w:t>
      </w:r>
      <w:r w:rsidRPr="00B71C66">
        <w:rPr>
          <w:szCs w:val="26"/>
        </w:rPr>
        <w:t xml:space="preserve"> </w:t>
      </w:r>
    </w:p>
  </w:footnote>
  <w:footnote w:id="87">
    <w:p w14:paraId="59CE7E67" w14:textId="0AF1210D" w:rsidR="00736C51" w:rsidRPr="00A56486" w:rsidRDefault="00736C51">
      <w:pPr>
        <w:pStyle w:val="FootnoteText"/>
        <w:rPr>
          <w:i/>
        </w:rPr>
      </w:pPr>
      <w:r>
        <w:rPr>
          <w:rStyle w:val="FootnoteReference"/>
        </w:rPr>
        <w:footnoteRef/>
      </w:r>
      <w:r>
        <w:t xml:space="preserve"> </w:t>
      </w:r>
      <w:r>
        <w:rPr>
          <w:i/>
        </w:rPr>
        <w:t>See</w:t>
      </w:r>
      <w:r w:rsidR="00574037" w:rsidRPr="00574037">
        <w:t>,</w:t>
      </w:r>
      <w:r w:rsidR="006F44A5">
        <w:rPr>
          <w:i/>
        </w:rPr>
        <w:t xml:space="preserve"> e.g.</w:t>
      </w:r>
      <w:r w:rsidR="00574037">
        <w:t>,</w:t>
      </w:r>
      <w:r>
        <w:rPr>
          <w:i/>
        </w:rPr>
        <w:t xml:space="preserve"> </w:t>
      </w:r>
      <w:r>
        <w:t>18 C.F.R. §</w:t>
      </w:r>
      <w:r w:rsidRPr="00377061">
        <w:t>§ 154.312</w:t>
      </w:r>
      <w:r w:rsidR="00377061">
        <w:t>(m)</w:t>
      </w:r>
      <w:r w:rsidRPr="00377061">
        <w:t>, 154.313</w:t>
      </w:r>
      <w:r w:rsidR="00377061">
        <w:t>(e)(13)</w:t>
      </w:r>
      <w:r w:rsidRPr="00377061">
        <w:t>,</w:t>
      </w:r>
      <w:r>
        <w:t xml:space="preserve"> </w:t>
      </w:r>
      <w:r w:rsidR="00377061">
        <w:t xml:space="preserve">384.123; </w:t>
      </w:r>
      <w:r>
        <w:t xml:space="preserve">342.2, 342.4(a); </w:t>
      </w:r>
      <w:r w:rsidR="00AC2684">
        <w:br/>
      </w:r>
      <w:r>
        <w:t xml:space="preserve">18 C.F.R. pt. 346.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04A9E" w14:textId="7CBB3A49" w:rsidR="00736C51" w:rsidRDefault="00736C51" w:rsidP="004D0967">
    <w:pPr>
      <w:pStyle w:val="Header"/>
      <w:tabs>
        <w:tab w:val="left" w:pos="270"/>
        <w:tab w:val="right" w:pos="9648"/>
      </w:tabs>
    </w:pPr>
    <w:r>
      <w:t>Docket No. PL17-1-000</w:t>
    </w:r>
    <w:r>
      <w:tab/>
    </w:r>
    <w:sdt>
      <w:sdtPr>
        <w:id w:val="209581209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2401A0">
          <w:rPr>
            <w:noProof/>
          </w:rPr>
          <w:t>- 20 -</w:t>
        </w:r>
        <w:r>
          <w:rPr>
            <w:noProof/>
          </w:rPr>
          <w:fldChar w:fldCharType="end"/>
        </w:r>
      </w:sdtContent>
    </w:sdt>
    <w:r w:rsidR="004D0967">
      <w:rPr>
        <w:noProof/>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DFEE6" w14:textId="77777777" w:rsidR="00736C51" w:rsidRPr="00332411" w:rsidRDefault="00736C51" w:rsidP="001E5607">
    <w:pPr>
      <w:pStyle w:val="Header"/>
      <w:rPr>
        <w:b/>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5BE8AB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98C4F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9F61F5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3A648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B003B5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156895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A8D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1A424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274E4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FE0A4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Letters"/>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11" w15:restartNumberingAfterBreak="0">
    <w:nsid w:val="06504E2B"/>
    <w:multiLevelType w:val="hybridMultilevel"/>
    <w:tmpl w:val="97F0758C"/>
    <w:lvl w:ilvl="0" w:tplc="212879E4">
      <w:start w:val="1"/>
      <w:numFmt w:val="lowerLetter"/>
      <w:lvlText w:val="%1)"/>
      <w:lvlJc w:val="left"/>
      <w:pPr>
        <w:ind w:left="2880" w:hanging="360"/>
      </w:pPr>
      <w:rPr>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13D9189C"/>
    <w:multiLevelType w:val="hybridMultilevel"/>
    <w:tmpl w:val="AA0282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D80F5D"/>
    <w:multiLevelType w:val="hybridMultilevel"/>
    <w:tmpl w:val="6BBEE4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565604"/>
    <w:multiLevelType w:val="hybridMultilevel"/>
    <w:tmpl w:val="4D841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BA0CFB"/>
    <w:multiLevelType w:val="hybridMultilevel"/>
    <w:tmpl w:val="CF1E633A"/>
    <w:lvl w:ilvl="0" w:tplc="009A80D6">
      <w:start w:val="1"/>
      <w:numFmt w:val="upperLetter"/>
      <w:lvlText w:val="%1."/>
      <w:lvlJc w:val="left"/>
      <w:pPr>
        <w:ind w:left="780" w:hanging="360"/>
      </w:pPr>
      <w:rPr>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6" w15:restartNumberingAfterBreak="0">
    <w:nsid w:val="319A2460"/>
    <w:multiLevelType w:val="hybridMultilevel"/>
    <w:tmpl w:val="C726A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156D43"/>
    <w:multiLevelType w:val="multilevel"/>
    <w:tmpl w:val="8152A0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8" w15:restartNumberingAfterBreak="0">
    <w:nsid w:val="335327ED"/>
    <w:multiLevelType w:val="hybridMultilevel"/>
    <w:tmpl w:val="E7CE7A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6F77393"/>
    <w:multiLevelType w:val="hybridMultilevel"/>
    <w:tmpl w:val="5AE2E45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ABF6D98"/>
    <w:multiLevelType w:val="hybridMultilevel"/>
    <w:tmpl w:val="AA84149A"/>
    <w:lvl w:ilvl="0" w:tplc="C41C0030">
      <w:start w:val="17"/>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CB4AEC"/>
    <w:multiLevelType w:val="hybridMultilevel"/>
    <w:tmpl w:val="7D5C930C"/>
    <w:lvl w:ilvl="0" w:tplc="4A5865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6E07DC"/>
    <w:multiLevelType w:val="hybridMultilevel"/>
    <w:tmpl w:val="8032953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EC6724F"/>
    <w:multiLevelType w:val="hybridMultilevel"/>
    <w:tmpl w:val="0B1EF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02536"/>
    <w:multiLevelType w:val="multilevel"/>
    <w:tmpl w:val="EE1AF2EA"/>
    <w:lvl w:ilvl="0">
      <w:start w:val="1"/>
      <w:numFmt w:val="upperRoman"/>
      <w:lvlRestart w:val="0"/>
      <w:pStyle w:val="Heading1"/>
      <w:lvlText w:val="%1."/>
      <w:lvlJc w:val="left"/>
      <w:pPr>
        <w:tabs>
          <w:tab w:val="num" w:pos="720"/>
        </w:tabs>
        <w:ind w:left="720" w:hanging="720"/>
      </w:pPr>
      <w:rPr>
        <w:rFonts w:hint="default"/>
      </w:rPr>
    </w:lvl>
    <w:lvl w:ilvl="1">
      <w:start w:val="1"/>
      <w:numFmt w:val="upperLetter"/>
      <w:pStyle w:val="Heading2"/>
      <w:lvlText w:val="%2."/>
      <w:lvlJc w:val="left"/>
      <w:pPr>
        <w:ind w:left="1440" w:hanging="720"/>
      </w:pPr>
      <w:rPr>
        <w:rFonts w:hint="default"/>
      </w:rPr>
    </w:lvl>
    <w:lvl w:ilvl="2">
      <w:start w:val="1"/>
      <w:numFmt w:val="decimal"/>
      <w:pStyle w:val="Heading3"/>
      <w:lvlText w:val="%3."/>
      <w:lvlJc w:val="left"/>
      <w:pPr>
        <w:tabs>
          <w:tab w:val="num" w:pos="1440"/>
        </w:tabs>
        <w:ind w:left="1440" w:hanging="720"/>
      </w:pPr>
      <w:rPr>
        <w:rFonts w:hint="default"/>
      </w:rPr>
    </w:lvl>
    <w:lvl w:ilvl="3">
      <w:start w:val="1"/>
      <w:numFmt w:val="lowerLetter"/>
      <w:pStyle w:val="Heading5"/>
      <w:lvlText w:val="%4."/>
      <w:lvlJc w:val="left"/>
      <w:pPr>
        <w:tabs>
          <w:tab w:val="num" w:pos="1800"/>
        </w:tabs>
        <w:ind w:left="1800" w:hanging="720"/>
      </w:pPr>
      <w:rPr>
        <w:rFonts w:hint="default"/>
      </w:rPr>
    </w:lvl>
    <w:lvl w:ilvl="4">
      <w:start w:val="1"/>
      <w:numFmt w:val="lowerRoman"/>
      <w:lvlText w:val="%5."/>
      <w:lvlJc w:val="left"/>
      <w:pPr>
        <w:tabs>
          <w:tab w:val="num" w:pos="2160"/>
        </w:tabs>
        <w:ind w:left="2160" w:hanging="720"/>
      </w:pPr>
      <w:rPr>
        <w:rFonts w:hint="default"/>
      </w:rPr>
    </w:lvl>
    <w:lvl w:ilvl="5">
      <w:start w:val="1"/>
      <w:numFmt w:val="lowerLetter"/>
      <w:lvlText w:val="(%6)"/>
      <w:lvlJc w:val="left"/>
      <w:pPr>
        <w:tabs>
          <w:tab w:val="num" w:pos="2520"/>
        </w:tabs>
        <w:ind w:left="2520" w:hanging="720"/>
      </w:pPr>
      <w:rPr>
        <w:rFonts w:hint="default"/>
      </w:rPr>
    </w:lvl>
    <w:lvl w:ilvl="6">
      <w:start w:val="1"/>
      <w:numFmt w:val="decimal"/>
      <w:pStyle w:val="Heading7"/>
      <w:lvlText w:val="(%7)"/>
      <w:lvlJc w:val="left"/>
      <w:pPr>
        <w:tabs>
          <w:tab w:val="num" w:pos="2880"/>
        </w:tabs>
        <w:ind w:left="2880" w:hanging="720"/>
      </w:pPr>
      <w:rPr>
        <w:rFonts w:hint="default"/>
      </w:rPr>
    </w:lvl>
    <w:lvl w:ilvl="7">
      <w:start w:val="1"/>
      <w:numFmt w:val="lowerRoman"/>
      <w:pStyle w:val="Heading8"/>
      <w:lvlText w:val="(%8)"/>
      <w:lvlJc w:val="left"/>
      <w:pPr>
        <w:tabs>
          <w:tab w:val="num" w:pos="3240"/>
        </w:tabs>
        <w:ind w:left="3240" w:hanging="720"/>
      </w:pPr>
      <w:rPr>
        <w:rFonts w:hint="default"/>
      </w:rPr>
    </w:lvl>
    <w:lvl w:ilvl="8">
      <w:start w:val="1"/>
      <w:numFmt w:val="decimalZero"/>
      <w:pStyle w:val="Heading9"/>
      <w:lvlText w:val="(%9)"/>
      <w:lvlJc w:val="left"/>
      <w:pPr>
        <w:tabs>
          <w:tab w:val="num" w:pos="3600"/>
        </w:tabs>
        <w:ind w:left="3600" w:hanging="720"/>
      </w:pPr>
      <w:rPr>
        <w:rFonts w:hint="default"/>
      </w:rPr>
    </w:lvl>
  </w:abstractNum>
  <w:abstractNum w:abstractNumId="25" w15:restartNumberingAfterBreak="0">
    <w:nsid w:val="53830049"/>
    <w:multiLevelType w:val="hybridMultilevel"/>
    <w:tmpl w:val="32D47CAC"/>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6" w15:restartNumberingAfterBreak="0">
    <w:nsid w:val="54FE6507"/>
    <w:multiLevelType w:val="hybridMultilevel"/>
    <w:tmpl w:val="09C2A1A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8DC3C5F"/>
    <w:multiLevelType w:val="hybridMultilevel"/>
    <w:tmpl w:val="5A0CF950"/>
    <w:lvl w:ilvl="0" w:tplc="290E822E">
      <w:start w:val="1"/>
      <w:numFmt w:val="decimal"/>
      <w:lvlText w:val="%1."/>
      <w:lvlJc w:val="left"/>
      <w:pPr>
        <w:ind w:left="1718" w:hanging="360"/>
      </w:pPr>
      <w:rPr>
        <w:rFonts w:hint="default"/>
        <w:b/>
        <w:color w:val="000000"/>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28" w15:restartNumberingAfterBreak="0">
    <w:nsid w:val="59706250"/>
    <w:multiLevelType w:val="hybridMultilevel"/>
    <w:tmpl w:val="A7D66B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E332150"/>
    <w:multiLevelType w:val="hybridMultilevel"/>
    <w:tmpl w:val="8916AB08"/>
    <w:lvl w:ilvl="0" w:tplc="EEC820F2">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9F42AD"/>
    <w:multiLevelType w:val="hybridMultilevel"/>
    <w:tmpl w:val="45182B3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11645A9"/>
    <w:multiLevelType w:val="hybridMultilevel"/>
    <w:tmpl w:val="6FD82D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646187"/>
    <w:multiLevelType w:val="hybridMultilevel"/>
    <w:tmpl w:val="9DCC217A"/>
    <w:lvl w:ilvl="0" w:tplc="E4FAF836">
      <w:start w:val="1"/>
      <w:numFmt w:val="bullet"/>
      <w:lvlText w:val=""/>
      <w:lvlJc w:val="left"/>
      <w:pPr>
        <w:tabs>
          <w:tab w:val="num" w:pos="36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511437"/>
    <w:multiLevelType w:val="hybridMultilevel"/>
    <w:tmpl w:val="E0EC7210"/>
    <w:lvl w:ilvl="0" w:tplc="2B90BE8E">
      <w:start w:val="1"/>
      <w:numFmt w:val="decimal"/>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4" w15:restartNumberingAfterBreak="0">
    <w:nsid w:val="7E4E4DD3"/>
    <w:multiLevelType w:val="hybridMultilevel"/>
    <w:tmpl w:val="71FC5684"/>
    <w:lvl w:ilvl="0" w:tplc="85C2E4BA">
      <w:start w:val="1"/>
      <w:numFmt w:val="decimal"/>
      <w:pStyle w:val="FERCparanumber"/>
      <w:lvlText w:val="%1."/>
      <w:lvlJc w:val="left"/>
      <w:pPr>
        <w:tabs>
          <w:tab w:val="num" w:pos="72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7"/>
  </w:num>
  <w:num w:numId="14">
    <w:abstractNumId w:val="18"/>
  </w:num>
  <w:num w:numId="15">
    <w:abstractNumId w:val="13"/>
  </w:num>
  <w:num w:numId="16">
    <w:abstractNumId w:val="34"/>
  </w:num>
  <w:num w:numId="17">
    <w:abstractNumId w:val="34"/>
  </w:num>
  <w:num w:numId="18">
    <w:abstractNumId w:val="34"/>
  </w:num>
  <w:num w:numId="19">
    <w:abstractNumId w:val="34"/>
  </w:num>
  <w:num w:numId="20">
    <w:abstractNumId w:val="34"/>
  </w:num>
  <w:num w:numId="21">
    <w:abstractNumId w:val="17"/>
  </w:num>
  <w:num w:numId="22">
    <w:abstractNumId w:val="32"/>
  </w:num>
  <w:num w:numId="23">
    <w:abstractNumId w:val="21"/>
  </w:num>
  <w:num w:numId="24">
    <w:abstractNumId w:val="16"/>
  </w:num>
  <w:num w:numId="25">
    <w:abstractNumId w:val="26"/>
  </w:num>
  <w:num w:numId="26">
    <w:abstractNumId w:val="15"/>
  </w:num>
  <w:num w:numId="27">
    <w:abstractNumId w:val="28"/>
  </w:num>
  <w:num w:numId="28">
    <w:abstractNumId w:val="22"/>
  </w:num>
  <w:num w:numId="29">
    <w:abstractNumId w:val="29"/>
  </w:num>
  <w:num w:numId="30">
    <w:abstractNumId w:val="19"/>
  </w:num>
  <w:num w:numId="31">
    <w:abstractNumId w:val="30"/>
  </w:num>
  <w:num w:numId="32">
    <w:abstractNumId w:val="11"/>
  </w:num>
  <w:num w:numId="33">
    <w:abstractNumId w:val="31"/>
  </w:num>
  <w:num w:numId="34">
    <w:abstractNumId w:val="34"/>
  </w:num>
  <w:num w:numId="35">
    <w:abstractNumId w:val="34"/>
  </w:num>
  <w:num w:numId="36">
    <w:abstractNumId w:val="34"/>
  </w:num>
  <w:num w:numId="37">
    <w:abstractNumId w:val="34"/>
  </w:num>
  <w:num w:numId="38">
    <w:abstractNumId w:val="33"/>
  </w:num>
  <w:num w:numId="39">
    <w:abstractNumId w:val="33"/>
    <w:lvlOverride w:ilvl="0">
      <w:startOverride w:val="1"/>
    </w:lvlOverride>
  </w:num>
  <w:num w:numId="40">
    <w:abstractNumId w:val="20"/>
  </w:num>
  <w:num w:numId="41">
    <w:abstractNumId w:val="25"/>
  </w:num>
  <w:num w:numId="42">
    <w:abstractNumId w:val="1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num>
  <w:num w:numId="45">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644"/>
    <w:rsid w:val="00002653"/>
    <w:rsid w:val="00004C90"/>
    <w:rsid w:val="00005E13"/>
    <w:rsid w:val="000060FC"/>
    <w:rsid w:val="00006E79"/>
    <w:rsid w:val="00007013"/>
    <w:rsid w:val="000105C2"/>
    <w:rsid w:val="0001111E"/>
    <w:rsid w:val="00011CE9"/>
    <w:rsid w:val="00012572"/>
    <w:rsid w:val="000145B4"/>
    <w:rsid w:val="00015BA4"/>
    <w:rsid w:val="00016925"/>
    <w:rsid w:val="000170B3"/>
    <w:rsid w:val="00017BC9"/>
    <w:rsid w:val="000200AE"/>
    <w:rsid w:val="00020927"/>
    <w:rsid w:val="000210A1"/>
    <w:rsid w:val="0002233B"/>
    <w:rsid w:val="00023767"/>
    <w:rsid w:val="000241D9"/>
    <w:rsid w:val="00025A61"/>
    <w:rsid w:val="000306AF"/>
    <w:rsid w:val="00030860"/>
    <w:rsid w:val="00031C56"/>
    <w:rsid w:val="00033A3C"/>
    <w:rsid w:val="00035DE1"/>
    <w:rsid w:val="00036021"/>
    <w:rsid w:val="00036D25"/>
    <w:rsid w:val="000372FB"/>
    <w:rsid w:val="00037BB9"/>
    <w:rsid w:val="00042BCC"/>
    <w:rsid w:val="00043766"/>
    <w:rsid w:val="00043C67"/>
    <w:rsid w:val="0004507A"/>
    <w:rsid w:val="00046D78"/>
    <w:rsid w:val="00047E21"/>
    <w:rsid w:val="000509A0"/>
    <w:rsid w:val="00052DCE"/>
    <w:rsid w:val="00053BA1"/>
    <w:rsid w:val="0005406C"/>
    <w:rsid w:val="00055B09"/>
    <w:rsid w:val="00060707"/>
    <w:rsid w:val="00060AEC"/>
    <w:rsid w:val="00061F05"/>
    <w:rsid w:val="00062ADD"/>
    <w:rsid w:val="000630E3"/>
    <w:rsid w:val="00063363"/>
    <w:rsid w:val="00064D88"/>
    <w:rsid w:val="0006768F"/>
    <w:rsid w:val="00070832"/>
    <w:rsid w:val="000720F4"/>
    <w:rsid w:val="00073451"/>
    <w:rsid w:val="00073B67"/>
    <w:rsid w:val="00074187"/>
    <w:rsid w:val="00074EF7"/>
    <w:rsid w:val="00075736"/>
    <w:rsid w:val="0007627C"/>
    <w:rsid w:val="00082865"/>
    <w:rsid w:val="00082FE0"/>
    <w:rsid w:val="0009336E"/>
    <w:rsid w:val="00093E4B"/>
    <w:rsid w:val="00094059"/>
    <w:rsid w:val="00094B49"/>
    <w:rsid w:val="000953FE"/>
    <w:rsid w:val="00095546"/>
    <w:rsid w:val="000964CE"/>
    <w:rsid w:val="000973D0"/>
    <w:rsid w:val="000975C8"/>
    <w:rsid w:val="000A095E"/>
    <w:rsid w:val="000A0F23"/>
    <w:rsid w:val="000A20A8"/>
    <w:rsid w:val="000A5ED4"/>
    <w:rsid w:val="000A68CF"/>
    <w:rsid w:val="000A776A"/>
    <w:rsid w:val="000B0D66"/>
    <w:rsid w:val="000B32DC"/>
    <w:rsid w:val="000B3933"/>
    <w:rsid w:val="000B5826"/>
    <w:rsid w:val="000B5B02"/>
    <w:rsid w:val="000B5FB2"/>
    <w:rsid w:val="000B69C4"/>
    <w:rsid w:val="000C16FD"/>
    <w:rsid w:val="000C3CD8"/>
    <w:rsid w:val="000C4C85"/>
    <w:rsid w:val="000C5FFF"/>
    <w:rsid w:val="000C6E92"/>
    <w:rsid w:val="000D1083"/>
    <w:rsid w:val="000D3524"/>
    <w:rsid w:val="000D376F"/>
    <w:rsid w:val="000D3D4C"/>
    <w:rsid w:val="000D4C49"/>
    <w:rsid w:val="000D603A"/>
    <w:rsid w:val="000D709F"/>
    <w:rsid w:val="000D74A6"/>
    <w:rsid w:val="000E214B"/>
    <w:rsid w:val="000E2853"/>
    <w:rsid w:val="000E314D"/>
    <w:rsid w:val="000E41E9"/>
    <w:rsid w:val="000E4E60"/>
    <w:rsid w:val="000E576A"/>
    <w:rsid w:val="000E5DA1"/>
    <w:rsid w:val="000E6D7F"/>
    <w:rsid w:val="000E6E42"/>
    <w:rsid w:val="000E733C"/>
    <w:rsid w:val="000E740C"/>
    <w:rsid w:val="000E7AE8"/>
    <w:rsid w:val="000E7FE0"/>
    <w:rsid w:val="000F13F6"/>
    <w:rsid w:val="000F1A65"/>
    <w:rsid w:val="000F40DE"/>
    <w:rsid w:val="000F474F"/>
    <w:rsid w:val="000F7522"/>
    <w:rsid w:val="00101744"/>
    <w:rsid w:val="00101EAF"/>
    <w:rsid w:val="001037AD"/>
    <w:rsid w:val="0010395C"/>
    <w:rsid w:val="00104E9B"/>
    <w:rsid w:val="00106AFB"/>
    <w:rsid w:val="00107D5A"/>
    <w:rsid w:val="0011005F"/>
    <w:rsid w:val="001128A5"/>
    <w:rsid w:val="00121883"/>
    <w:rsid w:val="00122BFB"/>
    <w:rsid w:val="00123E3F"/>
    <w:rsid w:val="001278B8"/>
    <w:rsid w:val="00127B80"/>
    <w:rsid w:val="00130B58"/>
    <w:rsid w:val="0013289A"/>
    <w:rsid w:val="00135E62"/>
    <w:rsid w:val="001418E3"/>
    <w:rsid w:val="00143D7F"/>
    <w:rsid w:val="00143FAC"/>
    <w:rsid w:val="00144766"/>
    <w:rsid w:val="00144FC8"/>
    <w:rsid w:val="001450B0"/>
    <w:rsid w:val="00145909"/>
    <w:rsid w:val="00145BF3"/>
    <w:rsid w:val="001460E5"/>
    <w:rsid w:val="00146A35"/>
    <w:rsid w:val="00147246"/>
    <w:rsid w:val="001479B9"/>
    <w:rsid w:val="0015198A"/>
    <w:rsid w:val="001541A7"/>
    <w:rsid w:val="001545B3"/>
    <w:rsid w:val="00157644"/>
    <w:rsid w:val="00160CD0"/>
    <w:rsid w:val="001619AF"/>
    <w:rsid w:val="00167F5D"/>
    <w:rsid w:val="001701EA"/>
    <w:rsid w:val="001722E3"/>
    <w:rsid w:val="00173BDA"/>
    <w:rsid w:val="00173FE5"/>
    <w:rsid w:val="001741AD"/>
    <w:rsid w:val="00175C69"/>
    <w:rsid w:val="00176C03"/>
    <w:rsid w:val="00176FE3"/>
    <w:rsid w:val="001771BA"/>
    <w:rsid w:val="00177390"/>
    <w:rsid w:val="00177460"/>
    <w:rsid w:val="00183B53"/>
    <w:rsid w:val="00183FD6"/>
    <w:rsid w:val="00184151"/>
    <w:rsid w:val="00184ABD"/>
    <w:rsid w:val="00184E12"/>
    <w:rsid w:val="00184FFE"/>
    <w:rsid w:val="00185007"/>
    <w:rsid w:val="001853F5"/>
    <w:rsid w:val="001876DD"/>
    <w:rsid w:val="00187F6A"/>
    <w:rsid w:val="0019050C"/>
    <w:rsid w:val="00192549"/>
    <w:rsid w:val="001948EB"/>
    <w:rsid w:val="00194C32"/>
    <w:rsid w:val="00196908"/>
    <w:rsid w:val="00197071"/>
    <w:rsid w:val="001A12DE"/>
    <w:rsid w:val="001A3237"/>
    <w:rsid w:val="001A4C5E"/>
    <w:rsid w:val="001A5D72"/>
    <w:rsid w:val="001A68C8"/>
    <w:rsid w:val="001B3F27"/>
    <w:rsid w:val="001B4D9E"/>
    <w:rsid w:val="001B4F75"/>
    <w:rsid w:val="001B703F"/>
    <w:rsid w:val="001B7347"/>
    <w:rsid w:val="001C139A"/>
    <w:rsid w:val="001C17A3"/>
    <w:rsid w:val="001C5E36"/>
    <w:rsid w:val="001D0604"/>
    <w:rsid w:val="001D0995"/>
    <w:rsid w:val="001D3568"/>
    <w:rsid w:val="001D533B"/>
    <w:rsid w:val="001D6113"/>
    <w:rsid w:val="001D7216"/>
    <w:rsid w:val="001D736C"/>
    <w:rsid w:val="001D75C1"/>
    <w:rsid w:val="001D7F9B"/>
    <w:rsid w:val="001E1B1A"/>
    <w:rsid w:val="001E246C"/>
    <w:rsid w:val="001E2B3B"/>
    <w:rsid w:val="001E49B3"/>
    <w:rsid w:val="001E4A71"/>
    <w:rsid w:val="001E5607"/>
    <w:rsid w:val="001F100E"/>
    <w:rsid w:val="001F1791"/>
    <w:rsid w:val="001F48AA"/>
    <w:rsid w:val="001F4FB1"/>
    <w:rsid w:val="001F5C46"/>
    <w:rsid w:val="001F7773"/>
    <w:rsid w:val="001F7C27"/>
    <w:rsid w:val="001F7FC3"/>
    <w:rsid w:val="00200B82"/>
    <w:rsid w:val="00201C17"/>
    <w:rsid w:val="00201EC4"/>
    <w:rsid w:val="00202422"/>
    <w:rsid w:val="00204512"/>
    <w:rsid w:val="00205E1B"/>
    <w:rsid w:val="00206D7D"/>
    <w:rsid w:val="0020776C"/>
    <w:rsid w:val="00210302"/>
    <w:rsid w:val="002106AD"/>
    <w:rsid w:val="00211D6D"/>
    <w:rsid w:val="00214BD7"/>
    <w:rsid w:val="00214C9E"/>
    <w:rsid w:val="00215AC5"/>
    <w:rsid w:val="00215DA9"/>
    <w:rsid w:val="00216B20"/>
    <w:rsid w:val="0022203F"/>
    <w:rsid w:val="00222492"/>
    <w:rsid w:val="00223BFE"/>
    <w:rsid w:val="00224439"/>
    <w:rsid w:val="002246EF"/>
    <w:rsid w:val="00224DD0"/>
    <w:rsid w:val="002250EA"/>
    <w:rsid w:val="00226384"/>
    <w:rsid w:val="00230EE1"/>
    <w:rsid w:val="002346ED"/>
    <w:rsid w:val="0023489A"/>
    <w:rsid w:val="002378A4"/>
    <w:rsid w:val="00240066"/>
    <w:rsid w:val="002401A0"/>
    <w:rsid w:val="0024067C"/>
    <w:rsid w:val="002426BB"/>
    <w:rsid w:val="002426C3"/>
    <w:rsid w:val="00242AA8"/>
    <w:rsid w:val="00242D7C"/>
    <w:rsid w:val="0024412F"/>
    <w:rsid w:val="00245FB6"/>
    <w:rsid w:val="00247B8F"/>
    <w:rsid w:val="00247EB4"/>
    <w:rsid w:val="00252506"/>
    <w:rsid w:val="0025400C"/>
    <w:rsid w:val="002553AC"/>
    <w:rsid w:val="00255663"/>
    <w:rsid w:val="002559A4"/>
    <w:rsid w:val="00256FB7"/>
    <w:rsid w:val="0026046D"/>
    <w:rsid w:val="00260604"/>
    <w:rsid w:val="0026206B"/>
    <w:rsid w:val="00262FC2"/>
    <w:rsid w:val="00263756"/>
    <w:rsid w:val="0026424F"/>
    <w:rsid w:val="00264564"/>
    <w:rsid w:val="00266808"/>
    <w:rsid w:val="0026745E"/>
    <w:rsid w:val="002715C8"/>
    <w:rsid w:val="00271ED9"/>
    <w:rsid w:val="00271F00"/>
    <w:rsid w:val="00273559"/>
    <w:rsid w:val="002737F8"/>
    <w:rsid w:val="002747B3"/>
    <w:rsid w:val="002756B8"/>
    <w:rsid w:val="00275856"/>
    <w:rsid w:val="0027699B"/>
    <w:rsid w:val="00277D1A"/>
    <w:rsid w:val="0028079F"/>
    <w:rsid w:val="0028132C"/>
    <w:rsid w:val="00281B3C"/>
    <w:rsid w:val="00282B1D"/>
    <w:rsid w:val="00282D15"/>
    <w:rsid w:val="00284BCB"/>
    <w:rsid w:val="0028585C"/>
    <w:rsid w:val="002860FD"/>
    <w:rsid w:val="0028697E"/>
    <w:rsid w:val="002875D8"/>
    <w:rsid w:val="002905F9"/>
    <w:rsid w:val="0029092B"/>
    <w:rsid w:val="00296FD4"/>
    <w:rsid w:val="002974D3"/>
    <w:rsid w:val="002A015A"/>
    <w:rsid w:val="002A061E"/>
    <w:rsid w:val="002A4A5D"/>
    <w:rsid w:val="002A4A6D"/>
    <w:rsid w:val="002A53F3"/>
    <w:rsid w:val="002A5520"/>
    <w:rsid w:val="002B0506"/>
    <w:rsid w:val="002B0C7A"/>
    <w:rsid w:val="002B150B"/>
    <w:rsid w:val="002B2963"/>
    <w:rsid w:val="002B4E02"/>
    <w:rsid w:val="002B6530"/>
    <w:rsid w:val="002B6E31"/>
    <w:rsid w:val="002C01BC"/>
    <w:rsid w:val="002C1C5D"/>
    <w:rsid w:val="002C2860"/>
    <w:rsid w:val="002C2B48"/>
    <w:rsid w:val="002C3700"/>
    <w:rsid w:val="002C3BF3"/>
    <w:rsid w:val="002C4EF3"/>
    <w:rsid w:val="002C5758"/>
    <w:rsid w:val="002D1319"/>
    <w:rsid w:val="002D1796"/>
    <w:rsid w:val="002D1A7D"/>
    <w:rsid w:val="002D264F"/>
    <w:rsid w:val="002D440A"/>
    <w:rsid w:val="002D4689"/>
    <w:rsid w:val="002D52AE"/>
    <w:rsid w:val="002D7D08"/>
    <w:rsid w:val="002E1E26"/>
    <w:rsid w:val="002E4290"/>
    <w:rsid w:val="002E6C23"/>
    <w:rsid w:val="002E7495"/>
    <w:rsid w:val="002E770C"/>
    <w:rsid w:val="002F1857"/>
    <w:rsid w:val="002F2E9C"/>
    <w:rsid w:val="002F4520"/>
    <w:rsid w:val="002F4565"/>
    <w:rsid w:val="002F59AF"/>
    <w:rsid w:val="002F5F85"/>
    <w:rsid w:val="00301152"/>
    <w:rsid w:val="003023C7"/>
    <w:rsid w:val="00302619"/>
    <w:rsid w:val="003052DC"/>
    <w:rsid w:val="00305D17"/>
    <w:rsid w:val="003067CC"/>
    <w:rsid w:val="00311249"/>
    <w:rsid w:val="00312597"/>
    <w:rsid w:val="003134C5"/>
    <w:rsid w:val="00314EE6"/>
    <w:rsid w:val="00316594"/>
    <w:rsid w:val="00320784"/>
    <w:rsid w:val="003254E3"/>
    <w:rsid w:val="00326985"/>
    <w:rsid w:val="00327F45"/>
    <w:rsid w:val="003303B3"/>
    <w:rsid w:val="00330C84"/>
    <w:rsid w:val="00331710"/>
    <w:rsid w:val="00332411"/>
    <w:rsid w:val="0033281D"/>
    <w:rsid w:val="0033292D"/>
    <w:rsid w:val="003350BC"/>
    <w:rsid w:val="00335223"/>
    <w:rsid w:val="00335642"/>
    <w:rsid w:val="0033571D"/>
    <w:rsid w:val="00336C70"/>
    <w:rsid w:val="003409FF"/>
    <w:rsid w:val="00344D42"/>
    <w:rsid w:val="003500EB"/>
    <w:rsid w:val="0035446A"/>
    <w:rsid w:val="0035457E"/>
    <w:rsid w:val="00355C4B"/>
    <w:rsid w:val="00356443"/>
    <w:rsid w:val="003569F1"/>
    <w:rsid w:val="00356DE0"/>
    <w:rsid w:val="00360505"/>
    <w:rsid w:val="003616F2"/>
    <w:rsid w:val="003618AE"/>
    <w:rsid w:val="0036556A"/>
    <w:rsid w:val="00366032"/>
    <w:rsid w:val="0036742B"/>
    <w:rsid w:val="00370FEA"/>
    <w:rsid w:val="00371037"/>
    <w:rsid w:val="00371A29"/>
    <w:rsid w:val="003734FE"/>
    <w:rsid w:val="00373D01"/>
    <w:rsid w:val="00377061"/>
    <w:rsid w:val="00377E27"/>
    <w:rsid w:val="00377F96"/>
    <w:rsid w:val="00380088"/>
    <w:rsid w:val="00381B36"/>
    <w:rsid w:val="00381F65"/>
    <w:rsid w:val="00382564"/>
    <w:rsid w:val="003834E3"/>
    <w:rsid w:val="00383973"/>
    <w:rsid w:val="003842D9"/>
    <w:rsid w:val="00384F78"/>
    <w:rsid w:val="00385471"/>
    <w:rsid w:val="00385528"/>
    <w:rsid w:val="00386BAB"/>
    <w:rsid w:val="00387B47"/>
    <w:rsid w:val="00387FB2"/>
    <w:rsid w:val="00391357"/>
    <w:rsid w:val="00395734"/>
    <w:rsid w:val="00395E13"/>
    <w:rsid w:val="00396B17"/>
    <w:rsid w:val="003A01C6"/>
    <w:rsid w:val="003A0F08"/>
    <w:rsid w:val="003A11F7"/>
    <w:rsid w:val="003A16CB"/>
    <w:rsid w:val="003A1A81"/>
    <w:rsid w:val="003A365C"/>
    <w:rsid w:val="003A3A1A"/>
    <w:rsid w:val="003A5556"/>
    <w:rsid w:val="003A593A"/>
    <w:rsid w:val="003A6443"/>
    <w:rsid w:val="003A75BD"/>
    <w:rsid w:val="003A7663"/>
    <w:rsid w:val="003B0452"/>
    <w:rsid w:val="003B0BF6"/>
    <w:rsid w:val="003B2559"/>
    <w:rsid w:val="003B2D78"/>
    <w:rsid w:val="003B3D69"/>
    <w:rsid w:val="003B4225"/>
    <w:rsid w:val="003B627D"/>
    <w:rsid w:val="003B708B"/>
    <w:rsid w:val="003C11BA"/>
    <w:rsid w:val="003C164F"/>
    <w:rsid w:val="003C31A8"/>
    <w:rsid w:val="003C341E"/>
    <w:rsid w:val="003C518C"/>
    <w:rsid w:val="003D1E78"/>
    <w:rsid w:val="003D3C82"/>
    <w:rsid w:val="003D3EF2"/>
    <w:rsid w:val="003D527E"/>
    <w:rsid w:val="003D53D5"/>
    <w:rsid w:val="003D5E1A"/>
    <w:rsid w:val="003D64DE"/>
    <w:rsid w:val="003E2071"/>
    <w:rsid w:val="003E2E73"/>
    <w:rsid w:val="003E36DD"/>
    <w:rsid w:val="003E3AE5"/>
    <w:rsid w:val="003E3FDC"/>
    <w:rsid w:val="003E5AD0"/>
    <w:rsid w:val="003E5C8D"/>
    <w:rsid w:val="003E692F"/>
    <w:rsid w:val="003E6DFB"/>
    <w:rsid w:val="003F0247"/>
    <w:rsid w:val="003F02FB"/>
    <w:rsid w:val="003F2086"/>
    <w:rsid w:val="003F45BA"/>
    <w:rsid w:val="003F590E"/>
    <w:rsid w:val="003F6EDE"/>
    <w:rsid w:val="003F706E"/>
    <w:rsid w:val="004017BB"/>
    <w:rsid w:val="004031E3"/>
    <w:rsid w:val="00404EE4"/>
    <w:rsid w:val="00405B93"/>
    <w:rsid w:val="004078AD"/>
    <w:rsid w:val="00410457"/>
    <w:rsid w:val="00414B9E"/>
    <w:rsid w:val="004155E3"/>
    <w:rsid w:val="00416520"/>
    <w:rsid w:val="004210A2"/>
    <w:rsid w:val="00422160"/>
    <w:rsid w:val="00422D45"/>
    <w:rsid w:val="0042305C"/>
    <w:rsid w:val="004230E5"/>
    <w:rsid w:val="00425A66"/>
    <w:rsid w:val="004262E2"/>
    <w:rsid w:val="00426D49"/>
    <w:rsid w:val="004311FF"/>
    <w:rsid w:val="00431835"/>
    <w:rsid w:val="00431907"/>
    <w:rsid w:val="00432D22"/>
    <w:rsid w:val="00433EEB"/>
    <w:rsid w:val="0043427F"/>
    <w:rsid w:val="00435317"/>
    <w:rsid w:val="004353EA"/>
    <w:rsid w:val="00435F5E"/>
    <w:rsid w:val="00436530"/>
    <w:rsid w:val="0043656A"/>
    <w:rsid w:val="004407BF"/>
    <w:rsid w:val="00441B3D"/>
    <w:rsid w:val="00443B68"/>
    <w:rsid w:val="00443C87"/>
    <w:rsid w:val="004441D5"/>
    <w:rsid w:val="004444A5"/>
    <w:rsid w:val="004457FF"/>
    <w:rsid w:val="00447165"/>
    <w:rsid w:val="00447B38"/>
    <w:rsid w:val="004504FE"/>
    <w:rsid w:val="00450972"/>
    <w:rsid w:val="00451CC5"/>
    <w:rsid w:val="004520E0"/>
    <w:rsid w:val="00452927"/>
    <w:rsid w:val="0045406D"/>
    <w:rsid w:val="00455C3A"/>
    <w:rsid w:val="004561CC"/>
    <w:rsid w:val="0045681F"/>
    <w:rsid w:val="00456DF6"/>
    <w:rsid w:val="00460826"/>
    <w:rsid w:val="00461B52"/>
    <w:rsid w:val="0046225D"/>
    <w:rsid w:val="004636E2"/>
    <w:rsid w:val="0046422A"/>
    <w:rsid w:val="00466C6D"/>
    <w:rsid w:val="00466DBB"/>
    <w:rsid w:val="004675D3"/>
    <w:rsid w:val="0047184A"/>
    <w:rsid w:val="00472AED"/>
    <w:rsid w:val="00472C0E"/>
    <w:rsid w:val="00473CF2"/>
    <w:rsid w:val="00476683"/>
    <w:rsid w:val="00476E2C"/>
    <w:rsid w:val="0048021B"/>
    <w:rsid w:val="00480B00"/>
    <w:rsid w:val="00481C81"/>
    <w:rsid w:val="00484124"/>
    <w:rsid w:val="00485B41"/>
    <w:rsid w:val="004860E4"/>
    <w:rsid w:val="00487A0C"/>
    <w:rsid w:val="00487DDA"/>
    <w:rsid w:val="0049353F"/>
    <w:rsid w:val="004943A1"/>
    <w:rsid w:val="00494BF5"/>
    <w:rsid w:val="004952CA"/>
    <w:rsid w:val="00495B6D"/>
    <w:rsid w:val="00495D49"/>
    <w:rsid w:val="004A0C80"/>
    <w:rsid w:val="004A0D3C"/>
    <w:rsid w:val="004A2E84"/>
    <w:rsid w:val="004A41AD"/>
    <w:rsid w:val="004A5F4C"/>
    <w:rsid w:val="004A716E"/>
    <w:rsid w:val="004B0029"/>
    <w:rsid w:val="004B0501"/>
    <w:rsid w:val="004B2A05"/>
    <w:rsid w:val="004B2C63"/>
    <w:rsid w:val="004B36D7"/>
    <w:rsid w:val="004B4F19"/>
    <w:rsid w:val="004B504B"/>
    <w:rsid w:val="004B54D5"/>
    <w:rsid w:val="004B7AAC"/>
    <w:rsid w:val="004C0664"/>
    <w:rsid w:val="004C3C0B"/>
    <w:rsid w:val="004C488A"/>
    <w:rsid w:val="004C7180"/>
    <w:rsid w:val="004D0548"/>
    <w:rsid w:val="004D0590"/>
    <w:rsid w:val="004D0967"/>
    <w:rsid w:val="004D297C"/>
    <w:rsid w:val="004D2D9E"/>
    <w:rsid w:val="004D42CB"/>
    <w:rsid w:val="004D49AB"/>
    <w:rsid w:val="004D71B1"/>
    <w:rsid w:val="004D723B"/>
    <w:rsid w:val="004E021C"/>
    <w:rsid w:val="004E0FFD"/>
    <w:rsid w:val="004E1A65"/>
    <w:rsid w:val="004E1EEC"/>
    <w:rsid w:val="004E27CB"/>
    <w:rsid w:val="004E2AED"/>
    <w:rsid w:val="004E3BC3"/>
    <w:rsid w:val="004E50F6"/>
    <w:rsid w:val="004E5C8E"/>
    <w:rsid w:val="004F0FB4"/>
    <w:rsid w:val="004F2906"/>
    <w:rsid w:val="004F2AFF"/>
    <w:rsid w:val="004F3359"/>
    <w:rsid w:val="004F384B"/>
    <w:rsid w:val="004F4127"/>
    <w:rsid w:val="004F4BEB"/>
    <w:rsid w:val="004F5D51"/>
    <w:rsid w:val="004F6A33"/>
    <w:rsid w:val="004F767D"/>
    <w:rsid w:val="004F7CEF"/>
    <w:rsid w:val="004F7D7A"/>
    <w:rsid w:val="00501708"/>
    <w:rsid w:val="00502A03"/>
    <w:rsid w:val="00504AC1"/>
    <w:rsid w:val="00504DF7"/>
    <w:rsid w:val="00506B6E"/>
    <w:rsid w:val="00507DB7"/>
    <w:rsid w:val="00510866"/>
    <w:rsid w:val="005120DC"/>
    <w:rsid w:val="00512F51"/>
    <w:rsid w:val="00516853"/>
    <w:rsid w:val="00521CA0"/>
    <w:rsid w:val="0052383E"/>
    <w:rsid w:val="00526C9C"/>
    <w:rsid w:val="0053103A"/>
    <w:rsid w:val="00531C65"/>
    <w:rsid w:val="005334B1"/>
    <w:rsid w:val="0053381C"/>
    <w:rsid w:val="0053444D"/>
    <w:rsid w:val="005371DF"/>
    <w:rsid w:val="0053745E"/>
    <w:rsid w:val="00542F37"/>
    <w:rsid w:val="00546996"/>
    <w:rsid w:val="005500E2"/>
    <w:rsid w:val="00552AB8"/>
    <w:rsid w:val="00553212"/>
    <w:rsid w:val="00554A45"/>
    <w:rsid w:val="00555578"/>
    <w:rsid w:val="00555BFE"/>
    <w:rsid w:val="00556EBF"/>
    <w:rsid w:val="0055743E"/>
    <w:rsid w:val="005605A5"/>
    <w:rsid w:val="005617C1"/>
    <w:rsid w:val="0056269C"/>
    <w:rsid w:val="00564515"/>
    <w:rsid w:val="005648BD"/>
    <w:rsid w:val="00565A27"/>
    <w:rsid w:val="00565B7E"/>
    <w:rsid w:val="005662D9"/>
    <w:rsid w:val="005673CD"/>
    <w:rsid w:val="005676EC"/>
    <w:rsid w:val="00570E0E"/>
    <w:rsid w:val="00572737"/>
    <w:rsid w:val="00573108"/>
    <w:rsid w:val="00574037"/>
    <w:rsid w:val="005743F9"/>
    <w:rsid w:val="0057509C"/>
    <w:rsid w:val="0057683D"/>
    <w:rsid w:val="00576B6A"/>
    <w:rsid w:val="00576F39"/>
    <w:rsid w:val="00576F77"/>
    <w:rsid w:val="00577394"/>
    <w:rsid w:val="00577AED"/>
    <w:rsid w:val="00580462"/>
    <w:rsid w:val="00585DED"/>
    <w:rsid w:val="00586E07"/>
    <w:rsid w:val="00587397"/>
    <w:rsid w:val="00587F09"/>
    <w:rsid w:val="005916B8"/>
    <w:rsid w:val="005919E5"/>
    <w:rsid w:val="00592CAF"/>
    <w:rsid w:val="00593E04"/>
    <w:rsid w:val="00593EE7"/>
    <w:rsid w:val="00595495"/>
    <w:rsid w:val="00597776"/>
    <w:rsid w:val="00597BE5"/>
    <w:rsid w:val="005A0008"/>
    <w:rsid w:val="005A126F"/>
    <w:rsid w:val="005A2EFD"/>
    <w:rsid w:val="005A3527"/>
    <w:rsid w:val="005A4A1D"/>
    <w:rsid w:val="005A4BB1"/>
    <w:rsid w:val="005A4BDA"/>
    <w:rsid w:val="005A77EE"/>
    <w:rsid w:val="005B1AC5"/>
    <w:rsid w:val="005B6684"/>
    <w:rsid w:val="005B7E3F"/>
    <w:rsid w:val="005C403F"/>
    <w:rsid w:val="005C4D56"/>
    <w:rsid w:val="005C5EC8"/>
    <w:rsid w:val="005C7358"/>
    <w:rsid w:val="005C7376"/>
    <w:rsid w:val="005D36C6"/>
    <w:rsid w:val="005D6C9C"/>
    <w:rsid w:val="005E0E23"/>
    <w:rsid w:val="005E1AA5"/>
    <w:rsid w:val="005E20FB"/>
    <w:rsid w:val="005E38B2"/>
    <w:rsid w:val="005E64AF"/>
    <w:rsid w:val="005E7571"/>
    <w:rsid w:val="005E77AD"/>
    <w:rsid w:val="005F037C"/>
    <w:rsid w:val="005F089A"/>
    <w:rsid w:val="005F1F70"/>
    <w:rsid w:val="005F25F1"/>
    <w:rsid w:val="005F266B"/>
    <w:rsid w:val="005F29EC"/>
    <w:rsid w:val="005F49D4"/>
    <w:rsid w:val="005F5248"/>
    <w:rsid w:val="005F56B5"/>
    <w:rsid w:val="005F6418"/>
    <w:rsid w:val="005F7B12"/>
    <w:rsid w:val="006001A8"/>
    <w:rsid w:val="00601A75"/>
    <w:rsid w:val="00602BC0"/>
    <w:rsid w:val="00604FE9"/>
    <w:rsid w:val="00605E2F"/>
    <w:rsid w:val="00606B67"/>
    <w:rsid w:val="00606C94"/>
    <w:rsid w:val="006070C5"/>
    <w:rsid w:val="0060755E"/>
    <w:rsid w:val="0061075E"/>
    <w:rsid w:val="0061271F"/>
    <w:rsid w:val="006132EE"/>
    <w:rsid w:val="00614B9A"/>
    <w:rsid w:val="00617427"/>
    <w:rsid w:val="00617F4A"/>
    <w:rsid w:val="0062073B"/>
    <w:rsid w:val="006217D6"/>
    <w:rsid w:val="0062451D"/>
    <w:rsid w:val="0063160D"/>
    <w:rsid w:val="00632A9D"/>
    <w:rsid w:val="006330EA"/>
    <w:rsid w:val="00634151"/>
    <w:rsid w:val="00634314"/>
    <w:rsid w:val="00634F5E"/>
    <w:rsid w:val="00635B9E"/>
    <w:rsid w:val="006363E1"/>
    <w:rsid w:val="00636C6F"/>
    <w:rsid w:val="006375A4"/>
    <w:rsid w:val="0064054C"/>
    <w:rsid w:val="00640844"/>
    <w:rsid w:val="00645537"/>
    <w:rsid w:val="00645712"/>
    <w:rsid w:val="0064583B"/>
    <w:rsid w:val="0064666F"/>
    <w:rsid w:val="00651B24"/>
    <w:rsid w:val="0065445E"/>
    <w:rsid w:val="00655985"/>
    <w:rsid w:val="00656ADC"/>
    <w:rsid w:val="00656F9C"/>
    <w:rsid w:val="006574C0"/>
    <w:rsid w:val="00657567"/>
    <w:rsid w:val="006575F9"/>
    <w:rsid w:val="00657F2C"/>
    <w:rsid w:val="006630B7"/>
    <w:rsid w:val="0066511C"/>
    <w:rsid w:val="00665833"/>
    <w:rsid w:val="00665FAB"/>
    <w:rsid w:val="00666626"/>
    <w:rsid w:val="00667F5A"/>
    <w:rsid w:val="006733E5"/>
    <w:rsid w:val="0067395C"/>
    <w:rsid w:val="006756AE"/>
    <w:rsid w:val="00676722"/>
    <w:rsid w:val="00676EFA"/>
    <w:rsid w:val="00677583"/>
    <w:rsid w:val="00680B5A"/>
    <w:rsid w:val="00680FAE"/>
    <w:rsid w:val="006813DC"/>
    <w:rsid w:val="0068394F"/>
    <w:rsid w:val="00685626"/>
    <w:rsid w:val="00685F7C"/>
    <w:rsid w:val="00686723"/>
    <w:rsid w:val="00686DC3"/>
    <w:rsid w:val="006907EE"/>
    <w:rsid w:val="00692769"/>
    <w:rsid w:val="00693007"/>
    <w:rsid w:val="00693886"/>
    <w:rsid w:val="006952FF"/>
    <w:rsid w:val="006960C2"/>
    <w:rsid w:val="006A017D"/>
    <w:rsid w:val="006A0444"/>
    <w:rsid w:val="006A0F0F"/>
    <w:rsid w:val="006A229F"/>
    <w:rsid w:val="006A52CA"/>
    <w:rsid w:val="006A53CC"/>
    <w:rsid w:val="006B19A6"/>
    <w:rsid w:val="006B448A"/>
    <w:rsid w:val="006B77F1"/>
    <w:rsid w:val="006C0B4B"/>
    <w:rsid w:val="006C1639"/>
    <w:rsid w:val="006C2130"/>
    <w:rsid w:val="006C2516"/>
    <w:rsid w:val="006C27E3"/>
    <w:rsid w:val="006C6E6B"/>
    <w:rsid w:val="006C72AD"/>
    <w:rsid w:val="006D03EE"/>
    <w:rsid w:val="006D06D5"/>
    <w:rsid w:val="006D1210"/>
    <w:rsid w:val="006D1F02"/>
    <w:rsid w:val="006D3E64"/>
    <w:rsid w:val="006D4B64"/>
    <w:rsid w:val="006D52BD"/>
    <w:rsid w:val="006E031B"/>
    <w:rsid w:val="006E1532"/>
    <w:rsid w:val="006E1C49"/>
    <w:rsid w:val="006E28A5"/>
    <w:rsid w:val="006E53D4"/>
    <w:rsid w:val="006E5AF2"/>
    <w:rsid w:val="006E6C43"/>
    <w:rsid w:val="006F3629"/>
    <w:rsid w:val="006F3994"/>
    <w:rsid w:val="006F3DFA"/>
    <w:rsid w:val="006F40CE"/>
    <w:rsid w:val="006F44A5"/>
    <w:rsid w:val="006F508A"/>
    <w:rsid w:val="006F6FD5"/>
    <w:rsid w:val="006F7844"/>
    <w:rsid w:val="00700C3C"/>
    <w:rsid w:val="00701DED"/>
    <w:rsid w:val="00702A04"/>
    <w:rsid w:val="00705004"/>
    <w:rsid w:val="00705964"/>
    <w:rsid w:val="00706F67"/>
    <w:rsid w:val="0070707C"/>
    <w:rsid w:val="00707F34"/>
    <w:rsid w:val="007102B9"/>
    <w:rsid w:val="00710CFA"/>
    <w:rsid w:val="007113F0"/>
    <w:rsid w:val="007117F0"/>
    <w:rsid w:val="00712AF9"/>
    <w:rsid w:val="00715229"/>
    <w:rsid w:val="007163E7"/>
    <w:rsid w:val="00717F65"/>
    <w:rsid w:val="007232DD"/>
    <w:rsid w:val="00723A08"/>
    <w:rsid w:val="00723B68"/>
    <w:rsid w:val="007251C1"/>
    <w:rsid w:val="00726AB4"/>
    <w:rsid w:val="0073007B"/>
    <w:rsid w:val="00730373"/>
    <w:rsid w:val="00731A9B"/>
    <w:rsid w:val="00733B82"/>
    <w:rsid w:val="00733BBA"/>
    <w:rsid w:val="00736308"/>
    <w:rsid w:val="00736C51"/>
    <w:rsid w:val="007370D7"/>
    <w:rsid w:val="0074263C"/>
    <w:rsid w:val="0074264E"/>
    <w:rsid w:val="007439CA"/>
    <w:rsid w:val="00744876"/>
    <w:rsid w:val="00745DCF"/>
    <w:rsid w:val="00747AB3"/>
    <w:rsid w:val="00750123"/>
    <w:rsid w:val="00751675"/>
    <w:rsid w:val="00752AA2"/>
    <w:rsid w:val="007541E2"/>
    <w:rsid w:val="00754BD2"/>
    <w:rsid w:val="00755061"/>
    <w:rsid w:val="007555A4"/>
    <w:rsid w:val="00755D45"/>
    <w:rsid w:val="00756268"/>
    <w:rsid w:val="00756856"/>
    <w:rsid w:val="00756B5A"/>
    <w:rsid w:val="007574FF"/>
    <w:rsid w:val="007605A6"/>
    <w:rsid w:val="007612C7"/>
    <w:rsid w:val="00761496"/>
    <w:rsid w:val="00763A55"/>
    <w:rsid w:val="00763AB9"/>
    <w:rsid w:val="00763BF9"/>
    <w:rsid w:val="00765527"/>
    <w:rsid w:val="00765D80"/>
    <w:rsid w:val="00766734"/>
    <w:rsid w:val="007669E2"/>
    <w:rsid w:val="00766B55"/>
    <w:rsid w:val="00766EED"/>
    <w:rsid w:val="007672A3"/>
    <w:rsid w:val="00767C73"/>
    <w:rsid w:val="007720A2"/>
    <w:rsid w:val="007726E9"/>
    <w:rsid w:val="0077510D"/>
    <w:rsid w:val="00775174"/>
    <w:rsid w:val="00777493"/>
    <w:rsid w:val="00780B6B"/>
    <w:rsid w:val="00780C0D"/>
    <w:rsid w:val="00783311"/>
    <w:rsid w:val="00784577"/>
    <w:rsid w:val="00786BC7"/>
    <w:rsid w:val="00787BEA"/>
    <w:rsid w:val="00790072"/>
    <w:rsid w:val="00790695"/>
    <w:rsid w:val="00790F1F"/>
    <w:rsid w:val="007923EE"/>
    <w:rsid w:val="00792B55"/>
    <w:rsid w:val="00793AE6"/>
    <w:rsid w:val="00796831"/>
    <w:rsid w:val="00797248"/>
    <w:rsid w:val="007974D5"/>
    <w:rsid w:val="007A1743"/>
    <w:rsid w:val="007A1DA0"/>
    <w:rsid w:val="007A2205"/>
    <w:rsid w:val="007A3304"/>
    <w:rsid w:val="007A3A77"/>
    <w:rsid w:val="007A4282"/>
    <w:rsid w:val="007A5F9F"/>
    <w:rsid w:val="007A684A"/>
    <w:rsid w:val="007A6F46"/>
    <w:rsid w:val="007B06D8"/>
    <w:rsid w:val="007B0AF9"/>
    <w:rsid w:val="007B0E38"/>
    <w:rsid w:val="007B224A"/>
    <w:rsid w:val="007B38B8"/>
    <w:rsid w:val="007B3D9E"/>
    <w:rsid w:val="007B5871"/>
    <w:rsid w:val="007B684F"/>
    <w:rsid w:val="007B7570"/>
    <w:rsid w:val="007B774A"/>
    <w:rsid w:val="007C07A4"/>
    <w:rsid w:val="007C09E7"/>
    <w:rsid w:val="007C174F"/>
    <w:rsid w:val="007C4EEB"/>
    <w:rsid w:val="007C5958"/>
    <w:rsid w:val="007C7542"/>
    <w:rsid w:val="007D0129"/>
    <w:rsid w:val="007D4408"/>
    <w:rsid w:val="007D4C62"/>
    <w:rsid w:val="007D5651"/>
    <w:rsid w:val="007D5732"/>
    <w:rsid w:val="007D5813"/>
    <w:rsid w:val="007D5DD2"/>
    <w:rsid w:val="007D70EB"/>
    <w:rsid w:val="007D74B5"/>
    <w:rsid w:val="007E26D4"/>
    <w:rsid w:val="007E4FC7"/>
    <w:rsid w:val="007E5582"/>
    <w:rsid w:val="007E6EC4"/>
    <w:rsid w:val="007E7368"/>
    <w:rsid w:val="007E784B"/>
    <w:rsid w:val="007F026A"/>
    <w:rsid w:val="007F08F6"/>
    <w:rsid w:val="007F3334"/>
    <w:rsid w:val="007F3507"/>
    <w:rsid w:val="007F5688"/>
    <w:rsid w:val="007F5B13"/>
    <w:rsid w:val="007F731C"/>
    <w:rsid w:val="00800DA5"/>
    <w:rsid w:val="0080177E"/>
    <w:rsid w:val="00801E8E"/>
    <w:rsid w:val="008026D6"/>
    <w:rsid w:val="008033EE"/>
    <w:rsid w:val="0080457E"/>
    <w:rsid w:val="00812377"/>
    <w:rsid w:val="00812BE4"/>
    <w:rsid w:val="0081400F"/>
    <w:rsid w:val="00814337"/>
    <w:rsid w:val="00814AD0"/>
    <w:rsid w:val="00815A34"/>
    <w:rsid w:val="008161C6"/>
    <w:rsid w:val="008215EB"/>
    <w:rsid w:val="008218E9"/>
    <w:rsid w:val="0082190B"/>
    <w:rsid w:val="00823B3F"/>
    <w:rsid w:val="0082741E"/>
    <w:rsid w:val="00827554"/>
    <w:rsid w:val="00830EDF"/>
    <w:rsid w:val="00831B42"/>
    <w:rsid w:val="00832487"/>
    <w:rsid w:val="0083383A"/>
    <w:rsid w:val="00833B55"/>
    <w:rsid w:val="00834CCC"/>
    <w:rsid w:val="00840A8F"/>
    <w:rsid w:val="00841F97"/>
    <w:rsid w:val="00843377"/>
    <w:rsid w:val="008437B4"/>
    <w:rsid w:val="00844606"/>
    <w:rsid w:val="00845879"/>
    <w:rsid w:val="00845A57"/>
    <w:rsid w:val="00852557"/>
    <w:rsid w:val="00852BC7"/>
    <w:rsid w:val="0086003C"/>
    <w:rsid w:val="008617A3"/>
    <w:rsid w:val="00861ED1"/>
    <w:rsid w:val="008636FA"/>
    <w:rsid w:val="00863CB0"/>
    <w:rsid w:val="00864064"/>
    <w:rsid w:val="00864670"/>
    <w:rsid w:val="00864BCA"/>
    <w:rsid w:val="0086587C"/>
    <w:rsid w:val="008666ED"/>
    <w:rsid w:val="00867D30"/>
    <w:rsid w:val="0087174C"/>
    <w:rsid w:val="008724DD"/>
    <w:rsid w:val="00872517"/>
    <w:rsid w:val="00872AE0"/>
    <w:rsid w:val="008741DE"/>
    <w:rsid w:val="00874A56"/>
    <w:rsid w:val="00874C4D"/>
    <w:rsid w:val="0087529D"/>
    <w:rsid w:val="00875F3A"/>
    <w:rsid w:val="00876978"/>
    <w:rsid w:val="00876A75"/>
    <w:rsid w:val="008776B4"/>
    <w:rsid w:val="008803E8"/>
    <w:rsid w:val="00880474"/>
    <w:rsid w:val="008823F6"/>
    <w:rsid w:val="00882F9A"/>
    <w:rsid w:val="008852CB"/>
    <w:rsid w:val="00885696"/>
    <w:rsid w:val="008861AA"/>
    <w:rsid w:val="0088645D"/>
    <w:rsid w:val="00886649"/>
    <w:rsid w:val="008869A8"/>
    <w:rsid w:val="00887BC7"/>
    <w:rsid w:val="00887D07"/>
    <w:rsid w:val="00890F35"/>
    <w:rsid w:val="008922FD"/>
    <w:rsid w:val="008927C7"/>
    <w:rsid w:val="0089331B"/>
    <w:rsid w:val="00893545"/>
    <w:rsid w:val="00894CCC"/>
    <w:rsid w:val="00896950"/>
    <w:rsid w:val="00896D0C"/>
    <w:rsid w:val="008A099E"/>
    <w:rsid w:val="008A14F9"/>
    <w:rsid w:val="008A2BA0"/>
    <w:rsid w:val="008A2D91"/>
    <w:rsid w:val="008A2E4A"/>
    <w:rsid w:val="008A3608"/>
    <w:rsid w:val="008A6A04"/>
    <w:rsid w:val="008A6D34"/>
    <w:rsid w:val="008A6F07"/>
    <w:rsid w:val="008A76F0"/>
    <w:rsid w:val="008A7EBF"/>
    <w:rsid w:val="008B08F2"/>
    <w:rsid w:val="008B0C84"/>
    <w:rsid w:val="008B22F3"/>
    <w:rsid w:val="008B2F2F"/>
    <w:rsid w:val="008B4ABD"/>
    <w:rsid w:val="008B5990"/>
    <w:rsid w:val="008B5C5F"/>
    <w:rsid w:val="008B61E2"/>
    <w:rsid w:val="008B7F10"/>
    <w:rsid w:val="008C0DB2"/>
    <w:rsid w:val="008C127E"/>
    <w:rsid w:val="008C1641"/>
    <w:rsid w:val="008C167A"/>
    <w:rsid w:val="008C1BE8"/>
    <w:rsid w:val="008C6ABA"/>
    <w:rsid w:val="008C6EC2"/>
    <w:rsid w:val="008C7BF5"/>
    <w:rsid w:val="008D0AEF"/>
    <w:rsid w:val="008D11AE"/>
    <w:rsid w:val="008D4822"/>
    <w:rsid w:val="008D52C2"/>
    <w:rsid w:val="008D6504"/>
    <w:rsid w:val="008D6DF8"/>
    <w:rsid w:val="008E0538"/>
    <w:rsid w:val="008E4946"/>
    <w:rsid w:val="008F0280"/>
    <w:rsid w:val="008F0C3F"/>
    <w:rsid w:val="008F2F01"/>
    <w:rsid w:val="008F3326"/>
    <w:rsid w:val="008F35CE"/>
    <w:rsid w:val="008F445A"/>
    <w:rsid w:val="008F449A"/>
    <w:rsid w:val="008F661B"/>
    <w:rsid w:val="008F7061"/>
    <w:rsid w:val="009000E5"/>
    <w:rsid w:val="009017B3"/>
    <w:rsid w:val="00901B84"/>
    <w:rsid w:val="00902EF1"/>
    <w:rsid w:val="0090449B"/>
    <w:rsid w:val="009044F6"/>
    <w:rsid w:val="009052C9"/>
    <w:rsid w:val="00907891"/>
    <w:rsid w:val="00907935"/>
    <w:rsid w:val="00911681"/>
    <w:rsid w:val="00911B49"/>
    <w:rsid w:val="0091237B"/>
    <w:rsid w:val="00914E41"/>
    <w:rsid w:val="00916427"/>
    <w:rsid w:val="009209FF"/>
    <w:rsid w:val="00920DFB"/>
    <w:rsid w:val="009210DD"/>
    <w:rsid w:val="0092158A"/>
    <w:rsid w:val="009220A2"/>
    <w:rsid w:val="00922398"/>
    <w:rsid w:val="00923741"/>
    <w:rsid w:val="00923C5E"/>
    <w:rsid w:val="00924618"/>
    <w:rsid w:val="00925A13"/>
    <w:rsid w:val="00926267"/>
    <w:rsid w:val="009265F5"/>
    <w:rsid w:val="00931A06"/>
    <w:rsid w:val="009322F4"/>
    <w:rsid w:val="00933038"/>
    <w:rsid w:val="00934F97"/>
    <w:rsid w:val="009354C2"/>
    <w:rsid w:val="00935901"/>
    <w:rsid w:val="00936A55"/>
    <w:rsid w:val="00937667"/>
    <w:rsid w:val="00940892"/>
    <w:rsid w:val="00944A60"/>
    <w:rsid w:val="009450DA"/>
    <w:rsid w:val="0094574D"/>
    <w:rsid w:val="00950A37"/>
    <w:rsid w:val="00954012"/>
    <w:rsid w:val="0095407C"/>
    <w:rsid w:val="009545B4"/>
    <w:rsid w:val="009558F3"/>
    <w:rsid w:val="009609BA"/>
    <w:rsid w:val="00961583"/>
    <w:rsid w:val="00961780"/>
    <w:rsid w:val="00962BF9"/>
    <w:rsid w:val="009632F8"/>
    <w:rsid w:val="009637BD"/>
    <w:rsid w:val="009648D9"/>
    <w:rsid w:val="00964EE6"/>
    <w:rsid w:val="00965664"/>
    <w:rsid w:val="00966791"/>
    <w:rsid w:val="009703B0"/>
    <w:rsid w:val="009707E8"/>
    <w:rsid w:val="009723E6"/>
    <w:rsid w:val="00972AAC"/>
    <w:rsid w:val="00972E03"/>
    <w:rsid w:val="009743E6"/>
    <w:rsid w:val="0097498F"/>
    <w:rsid w:val="00974A4D"/>
    <w:rsid w:val="009766EB"/>
    <w:rsid w:val="009770AA"/>
    <w:rsid w:val="00977752"/>
    <w:rsid w:val="00980AE3"/>
    <w:rsid w:val="00980FDD"/>
    <w:rsid w:val="00981555"/>
    <w:rsid w:val="009820ED"/>
    <w:rsid w:val="00982CE1"/>
    <w:rsid w:val="00983AB1"/>
    <w:rsid w:val="009856F1"/>
    <w:rsid w:val="00985BE2"/>
    <w:rsid w:val="00987161"/>
    <w:rsid w:val="00993B72"/>
    <w:rsid w:val="00994B91"/>
    <w:rsid w:val="00996341"/>
    <w:rsid w:val="009963AE"/>
    <w:rsid w:val="00997318"/>
    <w:rsid w:val="009A1C9E"/>
    <w:rsid w:val="009A2444"/>
    <w:rsid w:val="009A3760"/>
    <w:rsid w:val="009A5BED"/>
    <w:rsid w:val="009A5DEE"/>
    <w:rsid w:val="009A5EA7"/>
    <w:rsid w:val="009A67EC"/>
    <w:rsid w:val="009A6ABF"/>
    <w:rsid w:val="009B0E7F"/>
    <w:rsid w:val="009B2E59"/>
    <w:rsid w:val="009B4170"/>
    <w:rsid w:val="009B4DA0"/>
    <w:rsid w:val="009B7AD0"/>
    <w:rsid w:val="009B7AE7"/>
    <w:rsid w:val="009B7D12"/>
    <w:rsid w:val="009C0E36"/>
    <w:rsid w:val="009C1EC8"/>
    <w:rsid w:val="009C34B8"/>
    <w:rsid w:val="009C387D"/>
    <w:rsid w:val="009C46FE"/>
    <w:rsid w:val="009C4FC6"/>
    <w:rsid w:val="009C52B0"/>
    <w:rsid w:val="009C6FF8"/>
    <w:rsid w:val="009D2456"/>
    <w:rsid w:val="009D4AC7"/>
    <w:rsid w:val="009D5E8E"/>
    <w:rsid w:val="009D644C"/>
    <w:rsid w:val="009E0976"/>
    <w:rsid w:val="009E74EC"/>
    <w:rsid w:val="009F1BDD"/>
    <w:rsid w:val="009F5A27"/>
    <w:rsid w:val="009F6F90"/>
    <w:rsid w:val="009F7845"/>
    <w:rsid w:val="00A03A75"/>
    <w:rsid w:val="00A050F9"/>
    <w:rsid w:val="00A1021A"/>
    <w:rsid w:val="00A11488"/>
    <w:rsid w:val="00A12224"/>
    <w:rsid w:val="00A13749"/>
    <w:rsid w:val="00A14E7F"/>
    <w:rsid w:val="00A152AE"/>
    <w:rsid w:val="00A1530B"/>
    <w:rsid w:val="00A17347"/>
    <w:rsid w:val="00A175F8"/>
    <w:rsid w:val="00A2134A"/>
    <w:rsid w:val="00A236C8"/>
    <w:rsid w:val="00A2517A"/>
    <w:rsid w:val="00A26251"/>
    <w:rsid w:val="00A30B24"/>
    <w:rsid w:val="00A30BCA"/>
    <w:rsid w:val="00A30DAD"/>
    <w:rsid w:val="00A31D97"/>
    <w:rsid w:val="00A31F9B"/>
    <w:rsid w:val="00A32891"/>
    <w:rsid w:val="00A333F3"/>
    <w:rsid w:val="00A35D18"/>
    <w:rsid w:val="00A37781"/>
    <w:rsid w:val="00A377F3"/>
    <w:rsid w:val="00A40C40"/>
    <w:rsid w:val="00A426A2"/>
    <w:rsid w:val="00A435EF"/>
    <w:rsid w:val="00A45077"/>
    <w:rsid w:val="00A45449"/>
    <w:rsid w:val="00A509AD"/>
    <w:rsid w:val="00A51AA5"/>
    <w:rsid w:val="00A54FE6"/>
    <w:rsid w:val="00A56486"/>
    <w:rsid w:val="00A56865"/>
    <w:rsid w:val="00A57E6D"/>
    <w:rsid w:val="00A60B91"/>
    <w:rsid w:val="00A61D79"/>
    <w:rsid w:val="00A62550"/>
    <w:rsid w:val="00A6378F"/>
    <w:rsid w:val="00A63F70"/>
    <w:rsid w:val="00A6625B"/>
    <w:rsid w:val="00A71193"/>
    <w:rsid w:val="00A712C1"/>
    <w:rsid w:val="00A717E0"/>
    <w:rsid w:val="00A722CB"/>
    <w:rsid w:val="00A732B1"/>
    <w:rsid w:val="00A7447E"/>
    <w:rsid w:val="00A74483"/>
    <w:rsid w:val="00A746D0"/>
    <w:rsid w:val="00A75691"/>
    <w:rsid w:val="00A75775"/>
    <w:rsid w:val="00A75A54"/>
    <w:rsid w:val="00A8103E"/>
    <w:rsid w:val="00A836E4"/>
    <w:rsid w:val="00A83AA9"/>
    <w:rsid w:val="00A84D1E"/>
    <w:rsid w:val="00A85234"/>
    <w:rsid w:val="00A90F83"/>
    <w:rsid w:val="00A9493B"/>
    <w:rsid w:val="00A94C8B"/>
    <w:rsid w:val="00A9510F"/>
    <w:rsid w:val="00A96723"/>
    <w:rsid w:val="00AA7390"/>
    <w:rsid w:val="00AB06E3"/>
    <w:rsid w:val="00AB16BD"/>
    <w:rsid w:val="00AB1A40"/>
    <w:rsid w:val="00AB2225"/>
    <w:rsid w:val="00AB2BD5"/>
    <w:rsid w:val="00AB44A3"/>
    <w:rsid w:val="00AB4DA9"/>
    <w:rsid w:val="00AB53F7"/>
    <w:rsid w:val="00AB5632"/>
    <w:rsid w:val="00AB60D7"/>
    <w:rsid w:val="00AB7EF4"/>
    <w:rsid w:val="00AC060A"/>
    <w:rsid w:val="00AC1654"/>
    <w:rsid w:val="00AC2684"/>
    <w:rsid w:val="00AC284D"/>
    <w:rsid w:val="00AC4D29"/>
    <w:rsid w:val="00AC56F4"/>
    <w:rsid w:val="00AD2FFD"/>
    <w:rsid w:val="00AD36C5"/>
    <w:rsid w:val="00AD3A3E"/>
    <w:rsid w:val="00AD5047"/>
    <w:rsid w:val="00AE0DDE"/>
    <w:rsid w:val="00AE12C7"/>
    <w:rsid w:val="00AE217F"/>
    <w:rsid w:val="00AE2AF2"/>
    <w:rsid w:val="00AE457D"/>
    <w:rsid w:val="00AE55C0"/>
    <w:rsid w:val="00AE56F9"/>
    <w:rsid w:val="00AE60A4"/>
    <w:rsid w:val="00AE617C"/>
    <w:rsid w:val="00AE63CF"/>
    <w:rsid w:val="00AE6ABF"/>
    <w:rsid w:val="00AE704F"/>
    <w:rsid w:val="00AF0A6E"/>
    <w:rsid w:val="00AF1D9D"/>
    <w:rsid w:val="00AF4767"/>
    <w:rsid w:val="00AF4B9B"/>
    <w:rsid w:val="00AF6DFA"/>
    <w:rsid w:val="00AF7089"/>
    <w:rsid w:val="00B00791"/>
    <w:rsid w:val="00B014CB"/>
    <w:rsid w:val="00B0588D"/>
    <w:rsid w:val="00B05E1F"/>
    <w:rsid w:val="00B06834"/>
    <w:rsid w:val="00B070B7"/>
    <w:rsid w:val="00B072C8"/>
    <w:rsid w:val="00B11197"/>
    <w:rsid w:val="00B124B1"/>
    <w:rsid w:val="00B12713"/>
    <w:rsid w:val="00B12B5C"/>
    <w:rsid w:val="00B13E21"/>
    <w:rsid w:val="00B15190"/>
    <w:rsid w:val="00B16BCF"/>
    <w:rsid w:val="00B17FDA"/>
    <w:rsid w:val="00B22A30"/>
    <w:rsid w:val="00B22F2C"/>
    <w:rsid w:val="00B2426C"/>
    <w:rsid w:val="00B30196"/>
    <w:rsid w:val="00B31447"/>
    <w:rsid w:val="00B33B3C"/>
    <w:rsid w:val="00B34ABA"/>
    <w:rsid w:val="00B3544A"/>
    <w:rsid w:val="00B36396"/>
    <w:rsid w:val="00B375F2"/>
    <w:rsid w:val="00B43586"/>
    <w:rsid w:val="00B44677"/>
    <w:rsid w:val="00B454BB"/>
    <w:rsid w:val="00B4748D"/>
    <w:rsid w:val="00B474D1"/>
    <w:rsid w:val="00B47977"/>
    <w:rsid w:val="00B50A44"/>
    <w:rsid w:val="00B52B8D"/>
    <w:rsid w:val="00B540F3"/>
    <w:rsid w:val="00B576C5"/>
    <w:rsid w:val="00B60C78"/>
    <w:rsid w:val="00B61758"/>
    <w:rsid w:val="00B61DED"/>
    <w:rsid w:val="00B63C36"/>
    <w:rsid w:val="00B66275"/>
    <w:rsid w:val="00B67202"/>
    <w:rsid w:val="00B706AC"/>
    <w:rsid w:val="00B70C77"/>
    <w:rsid w:val="00B729BD"/>
    <w:rsid w:val="00B763F1"/>
    <w:rsid w:val="00B802A1"/>
    <w:rsid w:val="00B809DE"/>
    <w:rsid w:val="00B8130B"/>
    <w:rsid w:val="00B81379"/>
    <w:rsid w:val="00B83489"/>
    <w:rsid w:val="00B847EC"/>
    <w:rsid w:val="00B84AEB"/>
    <w:rsid w:val="00B86370"/>
    <w:rsid w:val="00B86965"/>
    <w:rsid w:val="00B90ABA"/>
    <w:rsid w:val="00B923EE"/>
    <w:rsid w:val="00B97A9E"/>
    <w:rsid w:val="00BA0FE6"/>
    <w:rsid w:val="00BA1434"/>
    <w:rsid w:val="00BA23E3"/>
    <w:rsid w:val="00BA2D0F"/>
    <w:rsid w:val="00BA3A26"/>
    <w:rsid w:val="00BA6703"/>
    <w:rsid w:val="00BA69F6"/>
    <w:rsid w:val="00BA7924"/>
    <w:rsid w:val="00BA7BB4"/>
    <w:rsid w:val="00BB1E53"/>
    <w:rsid w:val="00BB298F"/>
    <w:rsid w:val="00BB770C"/>
    <w:rsid w:val="00BB7AC9"/>
    <w:rsid w:val="00BB7AD6"/>
    <w:rsid w:val="00BC02B9"/>
    <w:rsid w:val="00BC1088"/>
    <w:rsid w:val="00BC3EFE"/>
    <w:rsid w:val="00BC4E80"/>
    <w:rsid w:val="00BD0564"/>
    <w:rsid w:val="00BD109A"/>
    <w:rsid w:val="00BD1B73"/>
    <w:rsid w:val="00BD2B87"/>
    <w:rsid w:val="00BD38C9"/>
    <w:rsid w:val="00BD575A"/>
    <w:rsid w:val="00BD6329"/>
    <w:rsid w:val="00BD6378"/>
    <w:rsid w:val="00BD64F5"/>
    <w:rsid w:val="00BE0E6B"/>
    <w:rsid w:val="00BE0EA0"/>
    <w:rsid w:val="00BE0FD6"/>
    <w:rsid w:val="00BE0FDE"/>
    <w:rsid w:val="00BE140B"/>
    <w:rsid w:val="00BE2736"/>
    <w:rsid w:val="00BE2DA5"/>
    <w:rsid w:val="00BE3BA9"/>
    <w:rsid w:val="00BE46CC"/>
    <w:rsid w:val="00BE5080"/>
    <w:rsid w:val="00BE5D50"/>
    <w:rsid w:val="00BE670E"/>
    <w:rsid w:val="00BE6892"/>
    <w:rsid w:val="00BF25CE"/>
    <w:rsid w:val="00BF2896"/>
    <w:rsid w:val="00BF2C80"/>
    <w:rsid w:val="00BF2DF8"/>
    <w:rsid w:val="00BF5F4B"/>
    <w:rsid w:val="00C0003C"/>
    <w:rsid w:val="00C00B72"/>
    <w:rsid w:val="00C014F6"/>
    <w:rsid w:val="00C01DA2"/>
    <w:rsid w:val="00C037DC"/>
    <w:rsid w:val="00C04438"/>
    <w:rsid w:val="00C04BFE"/>
    <w:rsid w:val="00C04FFD"/>
    <w:rsid w:val="00C068E6"/>
    <w:rsid w:val="00C06C1B"/>
    <w:rsid w:val="00C07E8D"/>
    <w:rsid w:val="00C10560"/>
    <w:rsid w:val="00C11267"/>
    <w:rsid w:val="00C11B80"/>
    <w:rsid w:val="00C11F96"/>
    <w:rsid w:val="00C16CFA"/>
    <w:rsid w:val="00C20629"/>
    <w:rsid w:val="00C20692"/>
    <w:rsid w:val="00C20D04"/>
    <w:rsid w:val="00C21D98"/>
    <w:rsid w:val="00C21D9F"/>
    <w:rsid w:val="00C22824"/>
    <w:rsid w:val="00C22E39"/>
    <w:rsid w:val="00C23226"/>
    <w:rsid w:val="00C2391F"/>
    <w:rsid w:val="00C23941"/>
    <w:rsid w:val="00C23C6F"/>
    <w:rsid w:val="00C26B67"/>
    <w:rsid w:val="00C27A47"/>
    <w:rsid w:val="00C30D21"/>
    <w:rsid w:val="00C315B9"/>
    <w:rsid w:val="00C31BFE"/>
    <w:rsid w:val="00C33888"/>
    <w:rsid w:val="00C34176"/>
    <w:rsid w:val="00C35189"/>
    <w:rsid w:val="00C35CF5"/>
    <w:rsid w:val="00C367F9"/>
    <w:rsid w:val="00C37018"/>
    <w:rsid w:val="00C4087D"/>
    <w:rsid w:val="00C40B96"/>
    <w:rsid w:val="00C41257"/>
    <w:rsid w:val="00C4261F"/>
    <w:rsid w:val="00C45720"/>
    <w:rsid w:val="00C46133"/>
    <w:rsid w:val="00C4694C"/>
    <w:rsid w:val="00C479D9"/>
    <w:rsid w:val="00C50575"/>
    <w:rsid w:val="00C5105B"/>
    <w:rsid w:val="00C5256F"/>
    <w:rsid w:val="00C530D7"/>
    <w:rsid w:val="00C54098"/>
    <w:rsid w:val="00C56E88"/>
    <w:rsid w:val="00C608E1"/>
    <w:rsid w:val="00C62688"/>
    <w:rsid w:val="00C628C7"/>
    <w:rsid w:val="00C63966"/>
    <w:rsid w:val="00C658BA"/>
    <w:rsid w:val="00C667EC"/>
    <w:rsid w:val="00C673F9"/>
    <w:rsid w:val="00C67E23"/>
    <w:rsid w:val="00C72F3F"/>
    <w:rsid w:val="00C7399D"/>
    <w:rsid w:val="00C75DA9"/>
    <w:rsid w:val="00C75E1E"/>
    <w:rsid w:val="00C7695A"/>
    <w:rsid w:val="00C770B4"/>
    <w:rsid w:val="00C7728C"/>
    <w:rsid w:val="00C802C1"/>
    <w:rsid w:val="00C822C2"/>
    <w:rsid w:val="00C83054"/>
    <w:rsid w:val="00C83C34"/>
    <w:rsid w:val="00C86407"/>
    <w:rsid w:val="00C86C62"/>
    <w:rsid w:val="00C876F1"/>
    <w:rsid w:val="00C94552"/>
    <w:rsid w:val="00C94820"/>
    <w:rsid w:val="00C948F4"/>
    <w:rsid w:val="00C966FA"/>
    <w:rsid w:val="00C967F8"/>
    <w:rsid w:val="00C96AD2"/>
    <w:rsid w:val="00CA0F15"/>
    <w:rsid w:val="00CA199C"/>
    <w:rsid w:val="00CA224F"/>
    <w:rsid w:val="00CA4531"/>
    <w:rsid w:val="00CA4DFC"/>
    <w:rsid w:val="00CA7125"/>
    <w:rsid w:val="00CA775F"/>
    <w:rsid w:val="00CB1209"/>
    <w:rsid w:val="00CB1F02"/>
    <w:rsid w:val="00CB2110"/>
    <w:rsid w:val="00CB33B8"/>
    <w:rsid w:val="00CB3B14"/>
    <w:rsid w:val="00CB3BBD"/>
    <w:rsid w:val="00CB3E4A"/>
    <w:rsid w:val="00CB66F1"/>
    <w:rsid w:val="00CB6974"/>
    <w:rsid w:val="00CC08C4"/>
    <w:rsid w:val="00CC0933"/>
    <w:rsid w:val="00CC1441"/>
    <w:rsid w:val="00CC1DA9"/>
    <w:rsid w:val="00CC1F26"/>
    <w:rsid w:val="00CC2573"/>
    <w:rsid w:val="00CC2BB7"/>
    <w:rsid w:val="00CC4BF8"/>
    <w:rsid w:val="00CC753C"/>
    <w:rsid w:val="00CC75F9"/>
    <w:rsid w:val="00CC78E8"/>
    <w:rsid w:val="00CD24EE"/>
    <w:rsid w:val="00CD2859"/>
    <w:rsid w:val="00CD3915"/>
    <w:rsid w:val="00CD4FC3"/>
    <w:rsid w:val="00CD7E0B"/>
    <w:rsid w:val="00CE0BFD"/>
    <w:rsid w:val="00CE1841"/>
    <w:rsid w:val="00CE24D9"/>
    <w:rsid w:val="00CE3841"/>
    <w:rsid w:val="00CE4169"/>
    <w:rsid w:val="00CE455B"/>
    <w:rsid w:val="00CE4DE3"/>
    <w:rsid w:val="00CE5A75"/>
    <w:rsid w:val="00CE5F86"/>
    <w:rsid w:val="00CE7CF1"/>
    <w:rsid w:val="00CF130C"/>
    <w:rsid w:val="00CF15D4"/>
    <w:rsid w:val="00CF388B"/>
    <w:rsid w:val="00CF458E"/>
    <w:rsid w:val="00CF5269"/>
    <w:rsid w:val="00CF5648"/>
    <w:rsid w:val="00CF5E46"/>
    <w:rsid w:val="00CF729C"/>
    <w:rsid w:val="00D001D8"/>
    <w:rsid w:val="00D0045D"/>
    <w:rsid w:val="00D00F19"/>
    <w:rsid w:val="00D00F99"/>
    <w:rsid w:val="00D01E69"/>
    <w:rsid w:val="00D026CF"/>
    <w:rsid w:val="00D02C6B"/>
    <w:rsid w:val="00D030A0"/>
    <w:rsid w:val="00D045B3"/>
    <w:rsid w:val="00D0535C"/>
    <w:rsid w:val="00D0544A"/>
    <w:rsid w:val="00D05905"/>
    <w:rsid w:val="00D05E7A"/>
    <w:rsid w:val="00D06C5F"/>
    <w:rsid w:val="00D10006"/>
    <w:rsid w:val="00D1062D"/>
    <w:rsid w:val="00D1116A"/>
    <w:rsid w:val="00D126F1"/>
    <w:rsid w:val="00D145B8"/>
    <w:rsid w:val="00D169AE"/>
    <w:rsid w:val="00D1724D"/>
    <w:rsid w:val="00D1768D"/>
    <w:rsid w:val="00D17C3F"/>
    <w:rsid w:val="00D2188D"/>
    <w:rsid w:val="00D2376A"/>
    <w:rsid w:val="00D24990"/>
    <w:rsid w:val="00D24FFD"/>
    <w:rsid w:val="00D258EC"/>
    <w:rsid w:val="00D27403"/>
    <w:rsid w:val="00D305C0"/>
    <w:rsid w:val="00D3301D"/>
    <w:rsid w:val="00D330BC"/>
    <w:rsid w:val="00D35EEF"/>
    <w:rsid w:val="00D405E9"/>
    <w:rsid w:val="00D42002"/>
    <w:rsid w:val="00D42221"/>
    <w:rsid w:val="00D439F2"/>
    <w:rsid w:val="00D43BC8"/>
    <w:rsid w:val="00D44358"/>
    <w:rsid w:val="00D45B76"/>
    <w:rsid w:val="00D463C2"/>
    <w:rsid w:val="00D47430"/>
    <w:rsid w:val="00D5063E"/>
    <w:rsid w:val="00D50A41"/>
    <w:rsid w:val="00D52737"/>
    <w:rsid w:val="00D54F7A"/>
    <w:rsid w:val="00D54FA2"/>
    <w:rsid w:val="00D5579B"/>
    <w:rsid w:val="00D55B21"/>
    <w:rsid w:val="00D566A9"/>
    <w:rsid w:val="00D6031A"/>
    <w:rsid w:val="00D615FF"/>
    <w:rsid w:val="00D63A28"/>
    <w:rsid w:val="00D63C99"/>
    <w:rsid w:val="00D64865"/>
    <w:rsid w:val="00D66214"/>
    <w:rsid w:val="00D6741E"/>
    <w:rsid w:val="00D67BF2"/>
    <w:rsid w:val="00D67F2F"/>
    <w:rsid w:val="00D73C44"/>
    <w:rsid w:val="00D7534D"/>
    <w:rsid w:val="00D76D7C"/>
    <w:rsid w:val="00D76F59"/>
    <w:rsid w:val="00D811FB"/>
    <w:rsid w:val="00D8140E"/>
    <w:rsid w:val="00D817A8"/>
    <w:rsid w:val="00D83629"/>
    <w:rsid w:val="00D83AF9"/>
    <w:rsid w:val="00D86857"/>
    <w:rsid w:val="00D87557"/>
    <w:rsid w:val="00D93E04"/>
    <w:rsid w:val="00D942EF"/>
    <w:rsid w:val="00D94EE3"/>
    <w:rsid w:val="00D95486"/>
    <w:rsid w:val="00D96BEE"/>
    <w:rsid w:val="00D96C3E"/>
    <w:rsid w:val="00D96C3F"/>
    <w:rsid w:val="00D97CCE"/>
    <w:rsid w:val="00DA12E3"/>
    <w:rsid w:val="00DA2267"/>
    <w:rsid w:val="00DA3B61"/>
    <w:rsid w:val="00DA455A"/>
    <w:rsid w:val="00DA4FE8"/>
    <w:rsid w:val="00DA7990"/>
    <w:rsid w:val="00DB0E79"/>
    <w:rsid w:val="00DB292C"/>
    <w:rsid w:val="00DB3028"/>
    <w:rsid w:val="00DB3338"/>
    <w:rsid w:val="00DB4771"/>
    <w:rsid w:val="00DB674A"/>
    <w:rsid w:val="00DB68FC"/>
    <w:rsid w:val="00DB69E1"/>
    <w:rsid w:val="00DB7789"/>
    <w:rsid w:val="00DB7A5B"/>
    <w:rsid w:val="00DC160C"/>
    <w:rsid w:val="00DC1EE7"/>
    <w:rsid w:val="00DC2CE0"/>
    <w:rsid w:val="00DC2ED9"/>
    <w:rsid w:val="00DC30CC"/>
    <w:rsid w:val="00DC35B3"/>
    <w:rsid w:val="00DC3F09"/>
    <w:rsid w:val="00DC676F"/>
    <w:rsid w:val="00DC7519"/>
    <w:rsid w:val="00DD0812"/>
    <w:rsid w:val="00DD1D81"/>
    <w:rsid w:val="00DD240C"/>
    <w:rsid w:val="00DD2C64"/>
    <w:rsid w:val="00DD5B6C"/>
    <w:rsid w:val="00DD5EB3"/>
    <w:rsid w:val="00DD6B95"/>
    <w:rsid w:val="00DD6F64"/>
    <w:rsid w:val="00DD7595"/>
    <w:rsid w:val="00DD7707"/>
    <w:rsid w:val="00DD7A4D"/>
    <w:rsid w:val="00DD7B7B"/>
    <w:rsid w:val="00DE027D"/>
    <w:rsid w:val="00DE0986"/>
    <w:rsid w:val="00DE12C8"/>
    <w:rsid w:val="00DE1EDE"/>
    <w:rsid w:val="00DE2056"/>
    <w:rsid w:val="00DE4B56"/>
    <w:rsid w:val="00DE578A"/>
    <w:rsid w:val="00DE635F"/>
    <w:rsid w:val="00DE6A86"/>
    <w:rsid w:val="00DE7229"/>
    <w:rsid w:val="00DE72F1"/>
    <w:rsid w:val="00DF0B39"/>
    <w:rsid w:val="00DF0CB9"/>
    <w:rsid w:val="00DF295F"/>
    <w:rsid w:val="00DF2ED5"/>
    <w:rsid w:val="00DF4CE1"/>
    <w:rsid w:val="00DF5838"/>
    <w:rsid w:val="00DF5DDB"/>
    <w:rsid w:val="00DF6162"/>
    <w:rsid w:val="00DF6DD8"/>
    <w:rsid w:val="00E003BE"/>
    <w:rsid w:val="00E01AFC"/>
    <w:rsid w:val="00E04CFE"/>
    <w:rsid w:val="00E04E31"/>
    <w:rsid w:val="00E06A75"/>
    <w:rsid w:val="00E103DC"/>
    <w:rsid w:val="00E13596"/>
    <w:rsid w:val="00E16A64"/>
    <w:rsid w:val="00E20B75"/>
    <w:rsid w:val="00E20B9C"/>
    <w:rsid w:val="00E213D1"/>
    <w:rsid w:val="00E2341C"/>
    <w:rsid w:val="00E2391A"/>
    <w:rsid w:val="00E24691"/>
    <w:rsid w:val="00E25F33"/>
    <w:rsid w:val="00E26B5D"/>
    <w:rsid w:val="00E27236"/>
    <w:rsid w:val="00E31558"/>
    <w:rsid w:val="00E318B7"/>
    <w:rsid w:val="00E32A88"/>
    <w:rsid w:val="00E3300E"/>
    <w:rsid w:val="00E34E14"/>
    <w:rsid w:val="00E3513E"/>
    <w:rsid w:val="00E358A2"/>
    <w:rsid w:val="00E408C4"/>
    <w:rsid w:val="00E429F2"/>
    <w:rsid w:val="00E42D95"/>
    <w:rsid w:val="00E44066"/>
    <w:rsid w:val="00E44AC1"/>
    <w:rsid w:val="00E524EF"/>
    <w:rsid w:val="00E535F2"/>
    <w:rsid w:val="00E54A4F"/>
    <w:rsid w:val="00E643B3"/>
    <w:rsid w:val="00E64AF5"/>
    <w:rsid w:val="00E65432"/>
    <w:rsid w:val="00E674F0"/>
    <w:rsid w:val="00E70B77"/>
    <w:rsid w:val="00E73039"/>
    <w:rsid w:val="00E73391"/>
    <w:rsid w:val="00E73AA8"/>
    <w:rsid w:val="00E75657"/>
    <w:rsid w:val="00E7583B"/>
    <w:rsid w:val="00E7774A"/>
    <w:rsid w:val="00E8010D"/>
    <w:rsid w:val="00E80DF7"/>
    <w:rsid w:val="00E811FC"/>
    <w:rsid w:val="00E81EF3"/>
    <w:rsid w:val="00E83E2E"/>
    <w:rsid w:val="00E85678"/>
    <w:rsid w:val="00E86571"/>
    <w:rsid w:val="00E867DE"/>
    <w:rsid w:val="00E87CDF"/>
    <w:rsid w:val="00E901B2"/>
    <w:rsid w:val="00E90D60"/>
    <w:rsid w:val="00E9134C"/>
    <w:rsid w:val="00E9151D"/>
    <w:rsid w:val="00E9182F"/>
    <w:rsid w:val="00E92139"/>
    <w:rsid w:val="00E924A4"/>
    <w:rsid w:val="00E93235"/>
    <w:rsid w:val="00E93B37"/>
    <w:rsid w:val="00E93DC2"/>
    <w:rsid w:val="00E9463C"/>
    <w:rsid w:val="00E965A0"/>
    <w:rsid w:val="00E9773F"/>
    <w:rsid w:val="00EA23A0"/>
    <w:rsid w:val="00EA3B0E"/>
    <w:rsid w:val="00EA4A5F"/>
    <w:rsid w:val="00EA6DDE"/>
    <w:rsid w:val="00EB07D0"/>
    <w:rsid w:val="00EB26EB"/>
    <w:rsid w:val="00EB2E2E"/>
    <w:rsid w:val="00EB37B6"/>
    <w:rsid w:val="00EB4FEE"/>
    <w:rsid w:val="00EB5636"/>
    <w:rsid w:val="00EB6D73"/>
    <w:rsid w:val="00EC0650"/>
    <w:rsid w:val="00EC257D"/>
    <w:rsid w:val="00EC39CD"/>
    <w:rsid w:val="00EC4F37"/>
    <w:rsid w:val="00EC588D"/>
    <w:rsid w:val="00EC6E3A"/>
    <w:rsid w:val="00ED7C7F"/>
    <w:rsid w:val="00EE0992"/>
    <w:rsid w:val="00EE0B5F"/>
    <w:rsid w:val="00EE1AFD"/>
    <w:rsid w:val="00EE2578"/>
    <w:rsid w:val="00EE265E"/>
    <w:rsid w:val="00EE4898"/>
    <w:rsid w:val="00EE5084"/>
    <w:rsid w:val="00EE50AF"/>
    <w:rsid w:val="00EE7013"/>
    <w:rsid w:val="00EF07EC"/>
    <w:rsid w:val="00EF38D3"/>
    <w:rsid w:val="00EF3C3A"/>
    <w:rsid w:val="00EF6F7A"/>
    <w:rsid w:val="00EF79E4"/>
    <w:rsid w:val="00EF7DD9"/>
    <w:rsid w:val="00F003C5"/>
    <w:rsid w:val="00F00411"/>
    <w:rsid w:val="00F00B31"/>
    <w:rsid w:val="00F01BC3"/>
    <w:rsid w:val="00F01C21"/>
    <w:rsid w:val="00F041D1"/>
    <w:rsid w:val="00F11FC1"/>
    <w:rsid w:val="00F12F8F"/>
    <w:rsid w:val="00F13C63"/>
    <w:rsid w:val="00F158AD"/>
    <w:rsid w:val="00F1714E"/>
    <w:rsid w:val="00F20575"/>
    <w:rsid w:val="00F20C03"/>
    <w:rsid w:val="00F2787D"/>
    <w:rsid w:val="00F30A5C"/>
    <w:rsid w:val="00F30AA3"/>
    <w:rsid w:val="00F30BE7"/>
    <w:rsid w:val="00F31058"/>
    <w:rsid w:val="00F31B37"/>
    <w:rsid w:val="00F32664"/>
    <w:rsid w:val="00F32E6C"/>
    <w:rsid w:val="00F331BD"/>
    <w:rsid w:val="00F36325"/>
    <w:rsid w:val="00F37FCB"/>
    <w:rsid w:val="00F419AD"/>
    <w:rsid w:val="00F41DCB"/>
    <w:rsid w:val="00F4322B"/>
    <w:rsid w:val="00F43DDE"/>
    <w:rsid w:val="00F476DC"/>
    <w:rsid w:val="00F50502"/>
    <w:rsid w:val="00F53AB6"/>
    <w:rsid w:val="00F541A8"/>
    <w:rsid w:val="00F5585D"/>
    <w:rsid w:val="00F5769D"/>
    <w:rsid w:val="00F610F0"/>
    <w:rsid w:val="00F6166C"/>
    <w:rsid w:val="00F62EB7"/>
    <w:rsid w:val="00F630A7"/>
    <w:rsid w:val="00F65457"/>
    <w:rsid w:val="00F65BE7"/>
    <w:rsid w:val="00F702D6"/>
    <w:rsid w:val="00F702E9"/>
    <w:rsid w:val="00F71DEF"/>
    <w:rsid w:val="00F72A5D"/>
    <w:rsid w:val="00F730B3"/>
    <w:rsid w:val="00F7334F"/>
    <w:rsid w:val="00F733EB"/>
    <w:rsid w:val="00F73979"/>
    <w:rsid w:val="00F7450E"/>
    <w:rsid w:val="00F7485F"/>
    <w:rsid w:val="00F77BFB"/>
    <w:rsid w:val="00F77D48"/>
    <w:rsid w:val="00F80F97"/>
    <w:rsid w:val="00F816D2"/>
    <w:rsid w:val="00F8314D"/>
    <w:rsid w:val="00F840E4"/>
    <w:rsid w:val="00F84F81"/>
    <w:rsid w:val="00F854B1"/>
    <w:rsid w:val="00F85ED8"/>
    <w:rsid w:val="00F9087D"/>
    <w:rsid w:val="00F91C84"/>
    <w:rsid w:val="00F9291B"/>
    <w:rsid w:val="00F95625"/>
    <w:rsid w:val="00F96041"/>
    <w:rsid w:val="00F9624D"/>
    <w:rsid w:val="00F97367"/>
    <w:rsid w:val="00FA3139"/>
    <w:rsid w:val="00FA3682"/>
    <w:rsid w:val="00FA452C"/>
    <w:rsid w:val="00FA45AC"/>
    <w:rsid w:val="00FA57F7"/>
    <w:rsid w:val="00FA5A24"/>
    <w:rsid w:val="00FA69A4"/>
    <w:rsid w:val="00FA6E4E"/>
    <w:rsid w:val="00FB0120"/>
    <w:rsid w:val="00FB084E"/>
    <w:rsid w:val="00FB47F9"/>
    <w:rsid w:val="00FB561E"/>
    <w:rsid w:val="00FB630C"/>
    <w:rsid w:val="00FB7194"/>
    <w:rsid w:val="00FB781F"/>
    <w:rsid w:val="00FB7CBD"/>
    <w:rsid w:val="00FC30FC"/>
    <w:rsid w:val="00FC3A46"/>
    <w:rsid w:val="00FC5E3D"/>
    <w:rsid w:val="00FC6CF5"/>
    <w:rsid w:val="00FD0AA7"/>
    <w:rsid w:val="00FD3DCD"/>
    <w:rsid w:val="00FD40DF"/>
    <w:rsid w:val="00FD4347"/>
    <w:rsid w:val="00FD52E3"/>
    <w:rsid w:val="00FD6DC4"/>
    <w:rsid w:val="00FD7006"/>
    <w:rsid w:val="00FE1FE3"/>
    <w:rsid w:val="00FE2EBA"/>
    <w:rsid w:val="00FE659A"/>
    <w:rsid w:val="00FF045C"/>
    <w:rsid w:val="00FF151E"/>
    <w:rsid w:val="00FF294E"/>
    <w:rsid w:val="00FF3034"/>
    <w:rsid w:val="00FF3327"/>
    <w:rsid w:val="00FF718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0A42D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152"/>
    <w:pPr>
      <w:widowControl w:val="0"/>
      <w:autoSpaceDE w:val="0"/>
      <w:autoSpaceDN w:val="0"/>
      <w:adjustRightInd w:val="0"/>
    </w:pPr>
    <w:rPr>
      <w:sz w:val="26"/>
      <w:szCs w:val="24"/>
      <w:lang w:bidi="ar-SA"/>
    </w:rPr>
  </w:style>
  <w:style w:type="paragraph" w:styleId="Heading1">
    <w:name w:val="heading 1"/>
    <w:basedOn w:val="Normal"/>
    <w:next w:val="FERCparanumber"/>
    <w:link w:val="Heading1Char"/>
    <w:qFormat/>
    <w:rsid w:val="00033A3C"/>
    <w:pPr>
      <w:keepNext/>
      <w:keepLines/>
      <w:widowControl/>
      <w:numPr>
        <w:numId w:val="12"/>
      </w:numPr>
      <w:spacing w:after="260"/>
      <w:outlineLvl w:val="0"/>
    </w:pPr>
    <w:rPr>
      <w:b/>
      <w:bCs/>
      <w:kern w:val="32"/>
      <w:szCs w:val="32"/>
      <w:u w:val="single"/>
    </w:rPr>
  </w:style>
  <w:style w:type="paragraph" w:styleId="Heading2">
    <w:name w:val="heading 2"/>
    <w:basedOn w:val="Normal"/>
    <w:next w:val="FERCparanumber"/>
    <w:link w:val="Heading2Char"/>
    <w:qFormat/>
    <w:rsid w:val="00033A3C"/>
    <w:pPr>
      <w:keepNext/>
      <w:keepLines/>
      <w:widowControl/>
      <w:numPr>
        <w:ilvl w:val="1"/>
        <w:numId w:val="12"/>
      </w:numPr>
      <w:spacing w:after="260"/>
      <w:outlineLvl w:val="1"/>
    </w:pPr>
    <w:rPr>
      <w:b/>
      <w:bCs/>
      <w:iCs/>
      <w:kern w:val="32"/>
      <w:szCs w:val="28"/>
      <w:u w:val="single"/>
    </w:rPr>
  </w:style>
  <w:style w:type="paragraph" w:styleId="Heading3">
    <w:name w:val="heading 3"/>
    <w:basedOn w:val="Normal"/>
    <w:next w:val="FERCparanumber"/>
    <w:link w:val="Heading3Char"/>
    <w:uiPriority w:val="9"/>
    <w:qFormat/>
    <w:rsid w:val="00033A3C"/>
    <w:pPr>
      <w:keepNext/>
      <w:keepLines/>
      <w:widowControl/>
      <w:numPr>
        <w:ilvl w:val="2"/>
        <w:numId w:val="12"/>
      </w:numPr>
      <w:spacing w:after="260"/>
      <w:outlineLvl w:val="2"/>
    </w:pPr>
    <w:rPr>
      <w:b/>
      <w:bCs/>
      <w:kern w:val="32"/>
      <w:szCs w:val="26"/>
      <w:u w:val="single"/>
    </w:rPr>
  </w:style>
  <w:style w:type="paragraph" w:styleId="Heading4">
    <w:name w:val="heading 4"/>
    <w:basedOn w:val="Heading3"/>
    <w:next w:val="FERCparanumber"/>
    <w:link w:val="Heading4Char"/>
    <w:qFormat/>
    <w:rsid w:val="00DA4FE8"/>
    <w:pPr>
      <w:tabs>
        <w:tab w:val="clear" w:pos="1440"/>
        <w:tab w:val="num" w:pos="2160"/>
      </w:tabs>
      <w:ind w:left="2160"/>
      <w:outlineLvl w:val="3"/>
    </w:pPr>
  </w:style>
  <w:style w:type="paragraph" w:styleId="Heading5">
    <w:name w:val="heading 5"/>
    <w:basedOn w:val="Normal"/>
    <w:next w:val="FERCparanumber"/>
    <w:link w:val="Heading5Char"/>
    <w:qFormat/>
    <w:rsid w:val="0020776C"/>
    <w:pPr>
      <w:keepNext/>
      <w:keepLines/>
      <w:widowControl/>
      <w:numPr>
        <w:ilvl w:val="3"/>
        <w:numId w:val="12"/>
      </w:numPr>
      <w:tabs>
        <w:tab w:val="clear" w:pos="1800"/>
        <w:tab w:val="num" w:pos="2880"/>
      </w:tabs>
      <w:spacing w:after="260"/>
      <w:ind w:left="2880"/>
      <w:outlineLvl w:val="4"/>
    </w:pPr>
    <w:rPr>
      <w:b/>
      <w:bCs/>
      <w:iCs/>
      <w:kern w:val="32"/>
      <w:szCs w:val="26"/>
      <w:u w:val="single"/>
    </w:rPr>
  </w:style>
  <w:style w:type="paragraph" w:styleId="Heading6">
    <w:name w:val="heading 6"/>
    <w:basedOn w:val="Heading5"/>
    <w:next w:val="FERCparanumber"/>
    <w:link w:val="Heading6Char"/>
    <w:qFormat/>
    <w:rsid w:val="001E2B3B"/>
    <w:pPr>
      <w:numPr>
        <w:ilvl w:val="0"/>
        <w:numId w:val="0"/>
      </w:numPr>
      <w:ind w:left="3600" w:hanging="720"/>
      <w:outlineLvl w:val="5"/>
    </w:pPr>
    <w:rPr>
      <w:u w:val="none"/>
    </w:rPr>
  </w:style>
  <w:style w:type="paragraph" w:styleId="Heading7">
    <w:name w:val="heading 7"/>
    <w:basedOn w:val="Normal"/>
    <w:next w:val="FERCparanumber"/>
    <w:link w:val="Heading7Char"/>
    <w:qFormat/>
    <w:rsid w:val="00033A3C"/>
    <w:pPr>
      <w:numPr>
        <w:ilvl w:val="6"/>
        <w:numId w:val="12"/>
      </w:numPr>
      <w:spacing w:after="260"/>
      <w:outlineLvl w:val="6"/>
    </w:pPr>
    <w:rPr>
      <w:b/>
      <w:kern w:val="32"/>
      <w:u w:val="single"/>
    </w:rPr>
  </w:style>
  <w:style w:type="paragraph" w:styleId="Heading8">
    <w:name w:val="heading 8"/>
    <w:basedOn w:val="Normal"/>
    <w:next w:val="FERCparanumber"/>
    <w:link w:val="Heading8Char"/>
    <w:qFormat/>
    <w:rsid w:val="00033A3C"/>
    <w:pPr>
      <w:keepNext/>
      <w:keepLines/>
      <w:widowControl/>
      <w:numPr>
        <w:ilvl w:val="7"/>
        <w:numId w:val="12"/>
      </w:numPr>
      <w:spacing w:after="260"/>
      <w:outlineLvl w:val="7"/>
    </w:pPr>
    <w:rPr>
      <w:b/>
      <w:iCs/>
      <w:kern w:val="32"/>
      <w:u w:val="single"/>
    </w:rPr>
  </w:style>
  <w:style w:type="paragraph" w:styleId="Heading9">
    <w:name w:val="heading 9"/>
    <w:basedOn w:val="Normal"/>
    <w:next w:val="FERCparanumber"/>
    <w:link w:val="Heading9Char"/>
    <w:qFormat/>
    <w:rsid w:val="00033A3C"/>
    <w:pPr>
      <w:keepNext/>
      <w:keepLines/>
      <w:widowControl/>
      <w:numPr>
        <w:ilvl w:val="8"/>
        <w:numId w:val="12"/>
      </w:numPr>
      <w:spacing w:after="260"/>
      <w:outlineLvl w:val="8"/>
    </w:pPr>
    <w:rPr>
      <w:b/>
      <w:kern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o,fr,Style 17,o1,fr1,o2,fr2,o3,fr3,Style 13,Style 12,Style 15,Style 9,Style 18,(NECG) Footnote Reference,Style 20,Style 7,Style 8,Style 19,Style 28,Styl,Style 11,Style 16,Style 5,Footnote Reference (EIS),fnr,Footnote reference (EA),."/>
    <w:basedOn w:val="DefaultParagraphFont"/>
    <w:uiPriority w:val="99"/>
    <w:qFormat/>
    <w:rsid w:val="00301152"/>
    <w:rPr>
      <w:rFonts w:ascii="Times New Roman" w:hAnsi="Times New Roman" w:cs="Times New Roman"/>
      <w:b/>
      <w:dstrike w:val="0"/>
      <w:sz w:val="26"/>
      <w:szCs w:val="26"/>
      <w:vertAlign w:val="superscript"/>
    </w:rPr>
  </w:style>
  <w:style w:type="paragraph" w:styleId="Header">
    <w:name w:val="header"/>
    <w:basedOn w:val="Normal"/>
    <w:link w:val="HeaderChar"/>
    <w:uiPriority w:val="99"/>
    <w:rsid w:val="00301152"/>
    <w:pPr>
      <w:tabs>
        <w:tab w:val="right" w:pos="8640"/>
      </w:tabs>
      <w:spacing w:after="120"/>
    </w:pPr>
  </w:style>
  <w:style w:type="paragraph" w:styleId="Footer">
    <w:name w:val="footer"/>
    <w:basedOn w:val="Normal"/>
    <w:rsid w:val="00301152"/>
    <w:pPr>
      <w:tabs>
        <w:tab w:val="center" w:pos="4320"/>
        <w:tab w:val="right" w:pos="8640"/>
      </w:tabs>
    </w:pPr>
  </w:style>
  <w:style w:type="character" w:styleId="LineNumber">
    <w:name w:val="line number"/>
    <w:basedOn w:val="DefaultParagraphFont"/>
    <w:rsid w:val="00C31BFE"/>
  </w:style>
  <w:style w:type="character" w:styleId="PageNumber">
    <w:name w:val="page number"/>
    <w:basedOn w:val="DefaultParagraphFont"/>
    <w:rsid w:val="00301152"/>
  </w:style>
  <w:style w:type="table" w:styleId="TableGrid">
    <w:name w:val="Table Grid"/>
    <w:basedOn w:val="TableNormal"/>
    <w:rsid w:val="00301152"/>
    <w:pPr>
      <w:widowControl w:val="0"/>
      <w:autoSpaceDE w:val="0"/>
      <w:autoSpaceDN w:val="0"/>
      <w:adjustRightInd w:val="0"/>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CE7CF1"/>
    <w:rPr>
      <w:rFonts w:ascii="Arial" w:hAnsi="Arial" w:cs="Arial"/>
      <w:sz w:val="20"/>
      <w:szCs w:val="16"/>
    </w:rPr>
  </w:style>
  <w:style w:type="character" w:customStyle="1" w:styleId="BalloonTextChar">
    <w:name w:val="Balloon Text Char"/>
    <w:basedOn w:val="DefaultParagraphFont"/>
    <w:link w:val="BalloonText"/>
    <w:semiHidden/>
    <w:rsid w:val="001F7FC3"/>
    <w:rPr>
      <w:rFonts w:ascii="Arial" w:hAnsi="Arial" w:cs="Arial"/>
      <w:szCs w:val="16"/>
      <w:lang w:bidi="ar-SA"/>
    </w:rPr>
  </w:style>
  <w:style w:type="paragraph" w:styleId="Bibliography">
    <w:name w:val="Bibliography"/>
    <w:basedOn w:val="Normal"/>
    <w:next w:val="Normal"/>
    <w:uiPriority w:val="37"/>
    <w:semiHidden/>
    <w:unhideWhenUsed/>
    <w:rsid w:val="00301152"/>
  </w:style>
  <w:style w:type="paragraph" w:customStyle="1" w:styleId="BlockIndent">
    <w:name w:val="Block Indent"/>
    <w:basedOn w:val="Normal"/>
    <w:next w:val="Normal"/>
    <w:rsid w:val="00301152"/>
    <w:pPr>
      <w:widowControl/>
      <w:spacing w:after="240"/>
      <w:ind w:left="1440" w:right="1440"/>
    </w:pPr>
  </w:style>
  <w:style w:type="paragraph" w:styleId="BlockText">
    <w:name w:val="Block Text"/>
    <w:basedOn w:val="Normal"/>
    <w:rsid w:val="00301152"/>
    <w:pPr>
      <w:spacing w:after="120"/>
      <w:ind w:left="1440" w:right="1440"/>
    </w:pPr>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Footnote Text MRP"/>
    <w:basedOn w:val="Normal"/>
    <w:link w:val="FootnoteTextChar"/>
    <w:uiPriority w:val="99"/>
    <w:qFormat/>
    <w:rsid w:val="00301152"/>
    <w:pPr>
      <w:spacing w:after="260"/>
      <w:ind w:firstLine="720"/>
    </w:pPr>
    <w:rPr>
      <w:szCs w:val="20"/>
    </w:rPr>
  </w:style>
  <w:style w:type="character" w:customStyle="1" w:styleId="1">
    <w:name w:val="1"/>
    <w:basedOn w:val="DefaultParagraphFont"/>
    <w:rsid w:val="00301152"/>
    <w:rPr>
      <w:sz w:val="26"/>
      <w:lang w:bidi="ar-SA"/>
    </w:rPr>
  </w:style>
  <w:style w:type="paragraph" w:customStyle="1" w:styleId="BodyFootnote">
    <w:name w:val="Body Footnote"/>
    <w:basedOn w:val="FootnoteText"/>
    <w:rsid w:val="00301152"/>
    <w:rPr>
      <w:szCs w:val="26"/>
    </w:rPr>
  </w:style>
  <w:style w:type="paragraph" w:styleId="BodyText">
    <w:name w:val="Body Text"/>
    <w:basedOn w:val="Normal"/>
    <w:link w:val="BodyTextChar"/>
    <w:rsid w:val="00301152"/>
    <w:pPr>
      <w:spacing w:after="120"/>
    </w:pPr>
  </w:style>
  <w:style w:type="character" w:customStyle="1" w:styleId="BodyTextChar">
    <w:name w:val="Body Text Char"/>
    <w:basedOn w:val="DefaultParagraphFont"/>
    <w:link w:val="BodyText"/>
    <w:rsid w:val="00301152"/>
    <w:rPr>
      <w:sz w:val="26"/>
      <w:szCs w:val="24"/>
      <w:lang w:bidi="ar-SA"/>
    </w:rPr>
  </w:style>
  <w:style w:type="paragraph" w:styleId="BodyText2">
    <w:name w:val="Body Text 2"/>
    <w:basedOn w:val="Normal"/>
    <w:link w:val="BodyText2Char"/>
    <w:rsid w:val="00301152"/>
    <w:pPr>
      <w:spacing w:after="120" w:line="480" w:lineRule="auto"/>
    </w:pPr>
  </w:style>
  <w:style w:type="character" w:customStyle="1" w:styleId="BodyText2Char">
    <w:name w:val="Body Text 2 Char"/>
    <w:basedOn w:val="DefaultParagraphFont"/>
    <w:link w:val="BodyText2"/>
    <w:rsid w:val="00301152"/>
    <w:rPr>
      <w:sz w:val="26"/>
      <w:szCs w:val="24"/>
      <w:lang w:bidi="ar-SA"/>
    </w:rPr>
  </w:style>
  <w:style w:type="paragraph" w:styleId="BodyText3">
    <w:name w:val="Body Text 3"/>
    <w:basedOn w:val="Normal"/>
    <w:link w:val="BodyText3Char"/>
    <w:rsid w:val="00301152"/>
    <w:pPr>
      <w:spacing w:after="120"/>
    </w:pPr>
    <w:rPr>
      <w:sz w:val="16"/>
      <w:szCs w:val="16"/>
    </w:rPr>
  </w:style>
  <w:style w:type="character" w:customStyle="1" w:styleId="BodyText3Char">
    <w:name w:val="Body Text 3 Char"/>
    <w:basedOn w:val="DefaultParagraphFont"/>
    <w:link w:val="BodyText3"/>
    <w:rsid w:val="00301152"/>
    <w:rPr>
      <w:sz w:val="16"/>
      <w:szCs w:val="16"/>
      <w:lang w:bidi="ar-SA"/>
    </w:rPr>
  </w:style>
  <w:style w:type="paragraph" w:styleId="BodyTextFirstIndent">
    <w:name w:val="Body Text First Indent"/>
    <w:basedOn w:val="BodyText"/>
    <w:link w:val="BodyTextFirstIndentChar"/>
    <w:rsid w:val="00301152"/>
    <w:pPr>
      <w:ind w:firstLine="210"/>
    </w:pPr>
  </w:style>
  <w:style w:type="character" w:customStyle="1" w:styleId="BodyTextFirstIndentChar">
    <w:name w:val="Body Text First Indent Char"/>
    <w:basedOn w:val="BodyTextChar"/>
    <w:link w:val="BodyTextFirstIndent"/>
    <w:rsid w:val="00301152"/>
    <w:rPr>
      <w:sz w:val="26"/>
      <w:szCs w:val="24"/>
      <w:lang w:bidi="ar-SA"/>
    </w:rPr>
  </w:style>
  <w:style w:type="paragraph" w:styleId="BodyTextIndent">
    <w:name w:val="Body Text Indent"/>
    <w:basedOn w:val="Normal"/>
    <w:link w:val="BodyTextIndentChar"/>
    <w:rsid w:val="00301152"/>
    <w:pPr>
      <w:spacing w:after="120"/>
      <w:ind w:left="360"/>
    </w:pPr>
  </w:style>
  <w:style w:type="character" w:customStyle="1" w:styleId="BodyTextIndentChar">
    <w:name w:val="Body Text Indent Char"/>
    <w:basedOn w:val="DefaultParagraphFont"/>
    <w:link w:val="BodyTextIndent"/>
    <w:rsid w:val="00301152"/>
    <w:rPr>
      <w:sz w:val="26"/>
      <w:szCs w:val="24"/>
      <w:lang w:bidi="ar-SA"/>
    </w:rPr>
  </w:style>
  <w:style w:type="paragraph" w:styleId="BodyTextFirstIndent2">
    <w:name w:val="Body Text First Indent 2"/>
    <w:basedOn w:val="BodyTextIndent"/>
    <w:link w:val="BodyTextFirstIndent2Char"/>
    <w:rsid w:val="00301152"/>
    <w:pPr>
      <w:ind w:firstLine="210"/>
    </w:pPr>
  </w:style>
  <w:style w:type="character" w:customStyle="1" w:styleId="BodyTextFirstIndent2Char">
    <w:name w:val="Body Text First Indent 2 Char"/>
    <w:basedOn w:val="BodyTextIndentChar"/>
    <w:link w:val="BodyTextFirstIndent2"/>
    <w:rsid w:val="00301152"/>
    <w:rPr>
      <w:sz w:val="26"/>
      <w:szCs w:val="24"/>
      <w:lang w:bidi="ar-SA"/>
    </w:rPr>
  </w:style>
  <w:style w:type="paragraph" w:styleId="BodyTextIndent2">
    <w:name w:val="Body Text Indent 2"/>
    <w:basedOn w:val="Normal"/>
    <w:link w:val="BodyTextIndent2Char"/>
    <w:rsid w:val="00301152"/>
    <w:pPr>
      <w:spacing w:after="120" w:line="480" w:lineRule="auto"/>
      <w:ind w:left="360"/>
    </w:pPr>
  </w:style>
  <w:style w:type="character" w:customStyle="1" w:styleId="BodyTextIndent2Char">
    <w:name w:val="Body Text Indent 2 Char"/>
    <w:basedOn w:val="DefaultParagraphFont"/>
    <w:link w:val="BodyTextIndent2"/>
    <w:rsid w:val="00301152"/>
    <w:rPr>
      <w:sz w:val="26"/>
      <w:szCs w:val="24"/>
      <w:lang w:bidi="ar-SA"/>
    </w:rPr>
  </w:style>
  <w:style w:type="paragraph" w:styleId="BodyTextIndent3">
    <w:name w:val="Body Text Indent 3"/>
    <w:basedOn w:val="Normal"/>
    <w:link w:val="BodyTextIndent3Char"/>
    <w:rsid w:val="00301152"/>
    <w:pPr>
      <w:spacing w:after="120"/>
      <w:ind w:left="360"/>
    </w:pPr>
    <w:rPr>
      <w:sz w:val="16"/>
      <w:szCs w:val="16"/>
    </w:rPr>
  </w:style>
  <w:style w:type="character" w:customStyle="1" w:styleId="BodyTextIndent3Char">
    <w:name w:val="Body Text Indent 3 Char"/>
    <w:basedOn w:val="DefaultParagraphFont"/>
    <w:link w:val="BodyTextIndent3"/>
    <w:rsid w:val="00301152"/>
    <w:rPr>
      <w:sz w:val="16"/>
      <w:szCs w:val="16"/>
      <w:lang w:bidi="ar-SA"/>
    </w:rPr>
  </w:style>
  <w:style w:type="paragraph" w:styleId="Caption">
    <w:name w:val="caption"/>
    <w:basedOn w:val="Normal"/>
    <w:next w:val="Normal"/>
    <w:qFormat/>
    <w:rsid w:val="00301152"/>
    <w:pPr>
      <w:spacing w:before="120" w:after="120"/>
    </w:pPr>
    <w:rPr>
      <w:b/>
      <w:bCs/>
      <w:sz w:val="20"/>
      <w:szCs w:val="20"/>
    </w:rPr>
  </w:style>
  <w:style w:type="paragraph" w:styleId="Closing">
    <w:name w:val="Closing"/>
    <w:basedOn w:val="Normal"/>
    <w:link w:val="ClosingChar"/>
    <w:rsid w:val="00301152"/>
    <w:pPr>
      <w:ind w:left="4320"/>
    </w:pPr>
  </w:style>
  <w:style w:type="character" w:customStyle="1" w:styleId="ClosingChar">
    <w:name w:val="Closing Char"/>
    <w:basedOn w:val="DefaultParagraphFont"/>
    <w:link w:val="Closing"/>
    <w:rsid w:val="00301152"/>
    <w:rPr>
      <w:sz w:val="26"/>
      <w:szCs w:val="24"/>
      <w:lang w:bidi="ar-SA"/>
    </w:rPr>
  </w:style>
  <w:style w:type="paragraph" w:styleId="CommentText">
    <w:name w:val="annotation text"/>
    <w:basedOn w:val="Normal"/>
    <w:link w:val="CommentTextChar"/>
    <w:semiHidden/>
    <w:rsid w:val="00CE7CF1"/>
    <w:rPr>
      <w:rFonts w:ascii="Arial" w:hAnsi="Arial" w:cs="Arial"/>
      <w:sz w:val="20"/>
      <w:szCs w:val="20"/>
    </w:rPr>
  </w:style>
  <w:style w:type="character" w:customStyle="1" w:styleId="CommentTextChar">
    <w:name w:val="Comment Text Char"/>
    <w:basedOn w:val="DefaultParagraphFont"/>
    <w:link w:val="CommentText"/>
    <w:semiHidden/>
    <w:rsid w:val="00301152"/>
    <w:rPr>
      <w:rFonts w:ascii="Arial" w:hAnsi="Arial" w:cs="Arial"/>
      <w:lang w:bidi="ar-SA"/>
    </w:rPr>
  </w:style>
  <w:style w:type="paragraph" w:styleId="CommentSubject">
    <w:name w:val="annotation subject"/>
    <w:basedOn w:val="CommentText"/>
    <w:next w:val="CommentText"/>
    <w:link w:val="CommentSubjectChar"/>
    <w:semiHidden/>
    <w:rsid w:val="00301152"/>
    <w:rPr>
      <w:b/>
      <w:bCs/>
    </w:rPr>
  </w:style>
  <w:style w:type="character" w:customStyle="1" w:styleId="CommentSubjectChar">
    <w:name w:val="Comment Subject Char"/>
    <w:basedOn w:val="CommentTextChar"/>
    <w:link w:val="CommentSubject"/>
    <w:semiHidden/>
    <w:rsid w:val="00301152"/>
    <w:rPr>
      <w:rFonts w:ascii="Arial" w:hAnsi="Arial" w:cs="Arial"/>
      <w:b/>
      <w:bCs/>
      <w:lang w:bidi="ar-SA"/>
    </w:rPr>
  </w:style>
  <w:style w:type="paragraph" w:styleId="Date">
    <w:name w:val="Date"/>
    <w:basedOn w:val="Normal"/>
    <w:next w:val="Normal"/>
    <w:link w:val="DateChar"/>
    <w:rsid w:val="00301152"/>
  </w:style>
  <w:style w:type="character" w:customStyle="1" w:styleId="DateChar">
    <w:name w:val="Date Char"/>
    <w:basedOn w:val="DefaultParagraphFont"/>
    <w:link w:val="Date"/>
    <w:rsid w:val="00301152"/>
    <w:rPr>
      <w:sz w:val="26"/>
      <w:szCs w:val="24"/>
      <w:lang w:bidi="ar-SA"/>
    </w:rPr>
  </w:style>
  <w:style w:type="paragraph" w:styleId="DocumentMap">
    <w:name w:val="Document Map"/>
    <w:basedOn w:val="Normal"/>
    <w:link w:val="DocumentMapChar"/>
    <w:semiHidden/>
    <w:rsid w:val="00301152"/>
    <w:pPr>
      <w:shd w:val="clear" w:color="auto" w:fill="000080"/>
    </w:pPr>
    <w:rPr>
      <w:rFonts w:ascii="Tahoma" w:hAnsi="Tahoma" w:cs="Tahoma"/>
    </w:rPr>
  </w:style>
  <w:style w:type="character" w:customStyle="1" w:styleId="DocumentMapChar">
    <w:name w:val="Document Map Char"/>
    <w:basedOn w:val="DefaultParagraphFont"/>
    <w:link w:val="DocumentMap"/>
    <w:semiHidden/>
    <w:rsid w:val="00301152"/>
    <w:rPr>
      <w:rFonts w:ascii="Tahoma" w:hAnsi="Tahoma" w:cs="Tahoma"/>
      <w:sz w:val="26"/>
      <w:szCs w:val="24"/>
      <w:shd w:val="clear" w:color="auto" w:fill="000080"/>
      <w:lang w:bidi="ar-SA"/>
    </w:rPr>
  </w:style>
  <w:style w:type="paragraph" w:styleId="E-mailSignature">
    <w:name w:val="E-mail Signature"/>
    <w:basedOn w:val="Normal"/>
    <w:link w:val="E-mailSignatureChar"/>
    <w:rsid w:val="00301152"/>
  </w:style>
  <w:style w:type="character" w:customStyle="1" w:styleId="E-mailSignatureChar">
    <w:name w:val="E-mail Signature Char"/>
    <w:basedOn w:val="DefaultParagraphFont"/>
    <w:link w:val="E-mailSignature"/>
    <w:rsid w:val="00301152"/>
    <w:rPr>
      <w:sz w:val="26"/>
      <w:szCs w:val="24"/>
      <w:lang w:bidi="ar-SA"/>
    </w:rPr>
  </w:style>
  <w:style w:type="paragraph" w:styleId="EndnoteText">
    <w:name w:val="endnote text"/>
    <w:basedOn w:val="Normal"/>
    <w:link w:val="EndnoteTextChar"/>
    <w:semiHidden/>
    <w:rsid w:val="00301152"/>
    <w:rPr>
      <w:sz w:val="20"/>
      <w:szCs w:val="20"/>
    </w:rPr>
  </w:style>
  <w:style w:type="character" w:customStyle="1" w:styleId="EndnoteTextChar">
    <w:name w:val="Endnote Text Char"/>
    <w:basedOn w:val="DefaultParagraphFont"/>
    <w:link w:val="EndnoteText"/>
    <w:semiHidden/>
    <w:rsid w:val="00301152"/>
    <w:rPr>
      <w:lang w:bidi="ar-SA"/>
    </w:rPr>
  </w:style>
  <w:style w:type="paragraph" w:styleId="EnvelopeAddress">
    <w:name w:val="envelope address"/>
    <w:basedOn w:val="Normal"/>
    <w:rsid w:val="00301152"/>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301152"/>
    <w:rPr>
      <w:rFonts w:ascii="Arial" w:hAnsi="Arial" w:cs="Arial"/>
      <w:sz w:val="20"/>
      <w:szCs w:val="20"/>
    </w:rPr>
  </w:style>
  <w:style w:type="paragraph" w:customStyle="1" w:styleId="FERCparanumber">
    <w:name w:val="FERC paranumber"/>
    <w:basedOn w:val="Normal"/>
    <w:link w:val="FERCparanumberChar1"/>
    <w:qFormat/>
    <w:rsid w:val="00F36325"/>
    <w:pPr>
      <w:widowControl/>
      <w:numPr>
        <w:numId w:val="1"/>
      </w:numPr>
      <w:spacing w:line="480" w:lineRule="auto"/>
    </w:pPr>
    <w:rPr>
      <w:szCs w:val="26"/>
    </w:rPr>
  </w:style>
  <w:style w:type="character" w:customStyle="1" w:styleId="Heading1Char">
    <w:name w:val="Heading 1 Char"/>
    <w:basedOn w:val="DefaultParagraphFont"/>
    <w:link w:val="Heading1"/>
    <w:rsid w:val="00033A3C"/>
    <w:rPr>
      <w:b/>
      <w:bCs/>
      <w:kern w:val="32"/>
      <w:sz w:val="26"/>
      <w:szCs w:val="32"/>
      <w:u w:val="single"/>
      <w:lang w:bidi="ar-SA"/>
    </w:rPr>
  </w:style>
  <w:style w:type="character" w:customStyle="1" w:styleId="Heading2Char">
    <w:name w:val="Heading 2 Char"/>
    <w:basedOn w:val="DefaultParagraphFont"/>
    <w:link w:val="Heading2"/>
    <w:rsid w:val="00033A3C"/>
    <w:rPr>
      <w:b/>
      <w:bCs/>
      <w:iCs/>
      <w:kern w:val="32"/>
      <w:sz w:val="26"/>
      <w:szCs w:val="28"/>
      <w:u w:val="single"/>
      <w:lang w:bidi="ar-SA"/>
    </w:rPr>
  </w:style>
  <w:style w:type="character" w:customStyle="1" w:styleId="Heading3Char">
    <w:name w:val="Heading 3 Char"/>
    <w:basedOn w:val="DefaultParagraphFont"/>
    <w:link w:val="Heading3"/>
    <w:rsid w:val="00033A3C"/>
    <w:rPr>
      <w:b/>
      <w:bCs/>
      <w:kern w:val="32"/>
      <w:sz w:val="26"/>
      <w:szCs w:val="26"/>
      <w:u w:val="single"/>
      <w:lang w:bidi="ar-SA"/>
    </w:rPr>
  </w:style>
  <w:style w:type="character" w:customStyle="1" w:styleId="Heading4Char">
    <w:name w:val="Heading 4 Char"/>
    <w:basedOn w:val="DefaultParagraphFont"/>
    <w:link w:val="Heading4"/>
    <w:rsid w:val="00DA4FE8"/>
    <w:rPr>
      <w:b/>
      <w:bCs/>
      <w:kern w:val="32"/>
      <w:sz w:val="26"/>
      <w:szCs w:val="26"/>
      <w:u w:val="single"/>
      <w:lang w:bidi="ar-SA"/>
    </w:rPr>
  </w:style>
  <w:style w:type="character" w:customStyle="1" w:styleId="Heading5Char">
    <w:name w:val="Heading 5 Char"/>
    <w:basedOn w:val="DefaultParagraphFont"/>
    <w:link w:val="Heading5"/>
    <w:rsid w:val="0020776C"/>
    <w:rPr>
      <w:b/>
      <w:bCs/>
      <w:iCs/>
      <w:kern w:val="32"/>
      <w:sz w:val="26"/>
      <w:szCs w:val="26"/>
      <w:u w:val="single"/>
      <w:lang w:bidi="ar-SA"/>
    </w:rPr>
  </w:style>
  <w:style w:type="character" w:customStyle="1" w:styleId="Heading6Char">
    <w:name w:val="Heading 6 Char"/>
    <w:basedOn w:val="DefaultParagraphFont"/>
    <w:link w:val="Heading6"/>
    <w:rsid w:val="001E2B3B"/>
    <w:rPr>
      <w:b/>
      <w:bCs/>
      <w:iCs/>
      <w:kern w:val="32"/>
      <w:sz w:val="26"/>
      <w:szCs w:val="26"/>
      <w:lang w:bidi="ar-SA"/>
    </w:rPr>
  </w:style>
  <w:style w:type="character" w:customStyle="1" w:styleId="Heading7Char">
    <w:name w:val="Heading 7 Char"/>
    <w:basedOn w:val="DefaultParagraphFont"/>
    <w:link w:val="Heading7"/>
    <w:rsid w:val="00033A3C"/>
    <w:rPr>
      <w:b/>
      <w:kern w:val="32"/>
      <w:sz w:val="26"/>
      <w:szCs w:val="24"/>
      <w:u w:val="single"/>
      <w:lang w:bidi="ar-SA"/>
    </w:rPr>
  </w:style>
  <w:style w:type="character" w:customStyle="1" w:styleId="Heading8Char">
    <w:name w:val="Heading 8 Char"/>
    <w:basedOn w:val="DefaultParagraphFont"/>
    <w:link w:val="Heading8"/>
    <w:rsid w:val="00033A3C"/>
    <w:rPr>
      <w:b/>
      <w:iCs/>
      <w:kern w:val="32"/>
      <w:sz w:val="26"/>
      <w:szCs w:val="24"/>
      <w:u w:val="single"/>
      <w:lang w:bidi="ar-SA"/>
    </w:rPr>
  </w:style>
  <w:style w:type="character" w:customStyle="1" w:styleId="Heading9Char">
    <w:name w:val="Heading 9 Char"/>
    <w:basedOn w:val="DefaultParagraphFont"/>
    <w:link w:val="Heading9"/>
    <w:rsid w:val="00033A3C"/>
    <w:rPr>
      <w:b/>
      <w:kern w:val="32"/>
      <w:sz w:val="26"/>
      <w:szCs w:val="22"/>
      <w:u w:val="single"/>
      <w:lang w:bidi="ar-SA"/>
    </w:rPr>
  </w:style>
  <w:style w:type="paragraph" w:styleId="HTMLAddress">
    <w:name w:val="HTML Address"/>
    <w:basedOn w:val="Normal"/>
    <w:link w:val="HTMLAddressChar"/>
    <w:rsid w:val="00301152"/>
    <w:rPr>
      <w:i/>
      <w:iCs/>
    </w:rPr>
  </w:style>
  <w:style w:type="character" w:customStyle="1" w:styleId="HTMLAddressChar">
    <w:name w:val="HTML Address Char"/>
    <w:basedOn w:val="DefaultParagraphFont"/>
    <w:link w:val="HTMLAddress"/>
    <w:rsid w:val="00301152"/>
    <w:rPr>
      <w:i/>
      <w:iCs/>
      <w:sz w:val="26"/>
      <w:szCs w:val="24"/>
      <w:lang w:bidi="ar-SA"/>
    </w:rPr>
  </w:style>
  <w:style w:type="paragraph" w:styleId="HTMLPreformatted">
    <w:name w:val="HTML Preformatted"/>
    <w:basedOn w:val="Normal"/>
    <w:link w:val="HTMLPreformattedChar"/>
    <w:rsid w:val="00301152"/>
    <w:rPr>
      <w:rFonts w:ascii="Courier New" w:hAnsi="Courier New" w:cs="Courier New"/>
      <w:sz w:val="20"/>
      <w:szCs w:val="20"/>
    </w:rPr>
  </w:style>
  <w:style w:type="character" w:customStyle="1" w:styleId="HTMLPreformattedChar">
    <w:name w:val="HTML Preformatted Char"/>
    <w:basedOn w:val="DefaultParagraphFont"/>
    <w:link w:val="HTMLPreformatted"/>
    <w:rsid w:val="00301152"/>
    <w:rPr>
      <w:rFonts w:ascii="Courier New" w:hAnsi="Courier New" w:cs="Courier New"/>
      <w:lang w:bidi="ar-SA"/>
    </w:rPr>
  </w:style>
  <w:style w:type="paragraph" w:styleId="Index1">
    <w:name w:val="index 1"/>
    <w:basedOn w:val="Normal"/>
    <w:next w:val="Normal"/>
    <w:semiHidden/>
    <w:rsid w:val="00301152"/>
    <w:pPr>
      <w:ind w:left="260" w:hanging="260"/>
    </w:pPr>
  </w:style>
  <w:style w:type="paragraph" w:styleId="Index2">
    <w:name w:val="index 2"/>
    <w:basedOn w:val="Normal"/>
    <w:next w:val="Normal"/>
    <w:semiHidden/>
    <w:rsid w:val="00301152"/>
    <w:pPr>
      <w:ind w:left="520" w:hanging="260"/>
    </w:pPr>
  </w:style>
  <w:style w:type="paragraph" w:styleId="Index3">
    <w:name w:val="index 3"/>
    <w:basedOn w:val="Normal"/>
    <w:next w:val="Normal"/>
    <w:semiHidden/>
    <w:rsid w:val="00301152"/>
    <w:pPr>
      <w:ind w:left="780" w:hanging="260"/>
    </w:pPr>
  </w:style>
  <w:style w:type="paragraph" w:styleId="Index4">
    <w:name w:val="index 4"/>
    <w:basedOn w:val="Normal"/>
    <w:next w:val="Normal"/>
    <w:semiHidden/>
    <w:rsid w:val="00301152"/>
    <w:pPr>
      <w:ind w:left="1040" w:hanging="260"/>
    </w:pPr>
  </w:style>
  <w:style w:type="paragraph" w:styleId="Index5">
    <w:name w:val="index 5"/>
    <w:basedOn w:val="Normal"/>
    <w:next w:val="Normal"/>
    <w:semiHidden/>
    <w:rsid w:val="00301152"/>
    <w:pPr>
      <w:ind w:left="1300" w:hanging="260"/>
    </w:pPr>
  </w:style>
  <w:style w:type="paragraph" w:styleId="Index6">
    <w:name w:val="index 6"/>
    <w:basedOn w:val="Normal"/>
    <w:next w:val="Normal"/>
    <w:semiHidden/>
    <w:rsid w:val="00301152"/>
    <w:pPr>
      <w:ind w:left="1560" w:hanging="260"/>
    </w:pPr>
  </w:style>
  <w:style w:type="paragraph" w:styleId="Index7">
    <w:name w:val="index 7"/>
    <w:basedOn w:val="Normal"/>
    <w:next w:val="Normal"/>
    <w:semiHidden/>
    <w:rsid w:val="00301152"/>
    <w:pPr>
      <w:ind w:left="1820" w:hanging="260"/>
    </w:pPr>
  </w:style>
  <w:style w:type="paragraph" w:styleId="Index8">
    <w:name w:val="index 8"/>
    <w:basedOn w:val="Normal"/>
    <w:next w:val="Normal"/>
    <w:semiHidden/>
    <w:rsid w:val="00301152"/>
    <w:pPr>
      <w:ind w:left="2080" w:hanging="260"/>
    </w:pPr>
  </w:style>
  <w:style w:type="paragraph" w:styleId="Index9">
    <w:name w:val="index 9"/>
    <w:basedOn w:val="Normal"/>
    <w:next w:val="Normal"/>
    <w:semiHidden/>
    <w:rsid w:val="00301152"/>
    <w:pPr>
      <w:ind w:left="2340" w:hanging="260"/>
    </w:pPr>
  </w:style>
  <w:style w:type="paragraph" w:styleId="IndexHeading">
    <w:name w:val="index heading"/>
    <w:basedOn w:val="Normal"/>
    <w:next w:val="Index1"/>
    <w:semiHidden/>
    <w:rsid w:val="00301152"/>
    <w:rPr>
      <w:rFonts w:ascii="Arial" w:hAnsi="Arial" w:cs="Arial"/>
      <w:b/>
      <w:bCs/>
    </w:rPr>
  </w:style>
  <w:style w:type="paragraph" w:styleId="IntenseQuote">
    <w:name w:val="Intense Quote"/>
    <w:basedOn w:val="Normal"/>
    <w:next w:val="Normal"/>
    <w:link w:val="IntenseQuoteChar"/>
    <w:uiPriority w:val="30"/>
    <w:qFormat/>
    <w:rsid w:val="003011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01152"/>
    <w:rPr>
      <w:b/>
      <w:bCs/>
      <w:i/>
      <w:iCs/>
      <w:color w:val="4F81BD" w:themeColor="accent1"/>
      <w:sz w:val="26"/>
      <w:szCs w:val="24"/>
      <w:lang w:bidi="ar-SA"/>
    </w:rPr>
  </w:style>
  <w:style w:type="paragraph" w:styleId="List">
    <w:name w:val="List"/>
    <w:basedOn w:val="Normal"/>
    <w:rsid w:val="00301152"/>
    <w:pPr>
      <w:ind w:left="360" w:hanging="360"/>
    </w:pPr>
  </w:style>
  <w:style w:type="paragraph" w:styleId="List2">
    <w:name w:val="List 2"/>
    <w:basedOn w:val="Normal"/>
    <w:rsid w:val="00301152"/>
    <w:pPr>
      <w:ind w:left="720" w:hanging="360"/>
    </w:pPr>
  </w:style>
  <w:style w:type="paragraph" w:styleId="List3">
    <w:name w:val="List 3"/>
    <w:basedOn w:val="Normal"/>
    <w:rsid w:val="00301152"/>
    <w:pPr>
      <w:ind w:left="1080" w:hanging="360"/>
    </w:pPr>
  </w:style>
  <w:style w:type="paragraph" w:styleId="List4">
    <w:name w:val="List 4"/>
    <w:basedOn w:val="Normal"/>
    <w:rsid w:val="00301152"/>
    <w:pPr>
      <w:ind w:left="1440" w:hanging="360"/>
    </w:pPr>
  </w:style>
  <w:style w:type="paragraph" w:styleId="List5">
    <w:name w:val="List 5"/>
    <w:basedOn w:val="Normal"/>
    <w:rsid w:val="00301152"/>
    <w:pPr>
      <w:ind w:left="1800" w:hanging="360"/>
    </w:pPr>
  </w:style>
  <w:style w:type="paragraph" w:styleId="ListBullet">
    <w:name w:val="List Bullet"/>
    <w:basedOn w:val="Normal"/>
    <w:rsid w:val="00301152"/>
    <w:pPr>
      <w:numPr>
        <w:numId w:val="2"/>
      </w:numPr>
    </w:pPr>
  </w:style>
  <w:style w:type="paragraph" w:styleId="ListBullet2">
    <w:name w:val="List Bullet 2"/>
    <w:basedOn w:val="Normal"/>
    <w:uiPriority w:val="99"/>
    <w:rsid w:val="00301152"/>
    <w:pPr>
      <w:numPr>
        <w:numId w:val="3"/>
      </w:numPr>
    </w:pPr>
  </w:style>
  <w:style w:type="paragraph" w:styleId="ListBullet3">
    <w:name w:val="List Bullet 3"/>
    <w:basedOn w:val="Normal"/>
    <w:rsid w:val="00301152"/>
    <w:pPr>
      <w:numPr>
        <w:numId w:val="4"/>
      </w:numPr>
    </w:pPr>
  </w:style>
  <w:style w:type="paragraph" w:styleId="ListBullet4">
    <w:name w:val="List Bullet 4"/>
    <w:basedOn w:val="Normal"/>
    <w:rsid w:val="00301152"/>
    <w:pPr>
      <w:numPr>
        <w:numId w:val="5"/>
      </w:numPr>
    </w:pPr>
  </w:style>
  <w:style w:type="paragraph" w:styleId="ListBullet5">
    <w:name w:val="List Bullet 5"/>
    <w:basedOn w:val="Normal"/>
    <w:rsid w:val="00301152"/>
    <w:pPr>
      <w:numPr>
        <w:numId w:val="6"/>
      </w:numPr>
    </w:pPr>
  </w:style>
  <w:style w:type="paragraph" w:styleId="ListContinue">
    <w:name w:val="List Continue"/>
    <w:basedOn w:val="Normal"/>
    <w:semiHidden/>
    <w:rsid w:val="00301152"/>
    <w:pPr>
      <w:widowControl/>
      <w:autoSpaceDE/>
      <w:autoSpaceDN/>
      <w:adjustRightInd/>
      <w:spacing w:after="120"/>
      <w:ind w:left="360"/>
    </w:pPr>
  </w:style>
  <w:style w:type="paragraph" w:styleId="ListContinue2">
    <w:name w:val="List Continue 2"/>
    <w:basedOn w:val="Normal"/>
    <w:rsid w:val="00301152"/>
    <w:pPr>
      <w:spacing w:after="120"/>
      <w:ind w:left="720"/>
    </w:pPr>
  </w:style>
  <w:style w:type="paragraph" w:styleId="ListContinue3">
    <w:name w:val="List Continue 3"/>
    <w:basedOn w:val="Normal"/>
    <w:rsid w:val="00301152"/>
    <w:pPr>
      <w:spacing w:after="120"/>
      <w:ind w:left="1080"/>
    </w:pPr>
  </w:style>
  <w:style w:type="paragraph" w:styleId="ListContinue4">
    <w:name w:val="List Continue 4"/>
    <w:basedOn w:val="Normal"/>
    <w:rsid w:val="00301152"/>
    <w:pPr>
      <w:spacing w:after="120"/>
      <w:ind w:left="1440"/>
    </w:pPr>
  </w:style>
  <w:style w:type="paragraph" w:styleId="ListContinue5">
    <w:name w:val="List Continue 5"/>
    <w:basedOn w:val="Normal"/>
    <w:rsid w:val="00301152"/>
    <w:pPr>
      <w:spacing w:after="120"/>
      <w:ind w:left="1800"/>
    </w:pPr>
  </w:style>
  <w:style w:type="paragraph" w:styleId="ListNumber">
    <w:name w:val="List Number"/>
    <w:basedOn w:val="Normal"/>
    <w:rsid w:val="00301152"/>
    <w:pPr>
      <w:numPr>
        <w:numId w:val="7"/>
      </w:numPr>
    </w:pPr>
  </w:style>
  <w:style w:type="paragraph" w:styleId="ListNumber2">
    <w:name w:val="List Number 2"/>
    <w:basedOn w:val="Normal"/>
    <w:rsid w:val="00301152"/>
    <w:pPr>
      <w:numPr>
        <w:numId w:val="8"/>
      </w:numPr>
    </w:pPr>
  </w:style>
  <w:style w:type="paragraph" w:styleId="ListNumber3">
    <w:name w:val="List Number 3"/>
    <w:basedOn w:val="Normal"/>
    <w:rsid w:val="00301152"/>
    <w:pPr>
      <w:numPr>
        <w:numId w:val="9"/>
      </w:numPr>
    </w:pPr>
  </w:style>
  <w:style w:type="paragraph" w:styleId="ListNumber4">
    <w:name w:val="List Number 4"/>
    <w:basedOn w:val="Normal"/>
    <w:rsid w:val="00301152"/>
    <w:pPr>
      <w:numPr>
        <w:numId w:val="10"/>
      </w:numPr>
    </w:pPr>
  </w:style>
  <w:style w:type="paragraph" w:styleId="ListNumber5">
    <w:name w:val="List Number 5"/>
    <w:basedOn w:val="Normal"/>
    <w:rsid w:val="00301152"/>
    <w:pPr>
      <w:numPr>
        <w:numId w:val="11"/>
      </w:numPr>
    </w:pPr>
  </w:style>
  <w:style w:type="paragraph" w:styleId="ListParagraph">
    <w:name w:val="List Paragraph"/>
    <w:basedOn w:val="Normal"/>
    <w:uiPriority w:val="34"/>
    <w:qFormat/>
    <w:rsid w:val="00301152"/>
    <w:pPr>
      <w:ind w:left="720"/>
      <w:contextualSpacing/>
    </w:pPr>
  </w:style>
  <w:style w:type="paragraph" w:styleId="MacroText">
    <w:name w:val="macro"/>
    <w:link w:val="MacroTextChar"/>
    <w:semiHidden/>
    <w:rsid w:val="00301152"/>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lang w:bidi="ar-SA"/>
    </w:rPr>
  </w:style>
  <w:style w:type="character" w:customStyle="1" w:styleId="MacroTextChar">
    <w:name w:val="Macro Text Char"/>
    <w:basedOn w:val="DefaultParagraphFont"/>
    <w:link w:val="MacroText"/>
    <w:semiHidden/>
    <w:rsid w:val="00301152"/>
    <w:rPr>
      <w:rFonts w:ascii="Courier New" w:hAnsi="Courier New" w:cs="Courier New"/>
      <w:lang w:bidi="ar-SA"/>
    </w:rPr>
  </w:style>
  <w:style w:type="paragraph" w:styleId="MessageHeader">
    <w:name w:val="Message Header"/>
    <w:basedOn w:val="Normal"/>
    <w:link w:val="MessageHeaderChar"/>
    <w:rsid w:val="0030115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301152"/>
    <w:rPr>
      <w:rFonts w:ascii="Arial" w:hAnsi="Arial" w:cs="Arial"/>
      <w:sz w:val="24"/>
      <w:szCs w:val="24"/>
      <w:shd w:val="pct20" w:color="auto" w:fill="auto"/>
      <w:lang w:bidi="ar-SA"/>
    </w:rPr>
  </w:style>
  <w:style w:type="paragraph" w:customStyle="1" w:styleId="myTOC1">
    <w:name w:val="myTOC 1"/>
    <w:basedOn w:val="Normal"/>
    <w:next w:val="Normal"/>
    <w:rsid w:val="00301152"/>
    <w:pPr>
      <w:tabs>
        <w:tab w:val="left" w:leader="dot" w:pos="9648"/>
      </w:tabs>
      <w:spacing w:before="120"/>
    </w:pPr>
    <w:rPr>
      <w:szCs w:val="26"/>
    </w:rPr>
  </w:style>
  <w:style w:type="paragraph" w:customStyle="1" w:styleId="myTOC2">
    <w:name w:val="myTOC 2"/>
    <w:basedOn w:val="Normal"/>
    <w:next w:val="Normal"/>
    <w:rsid w:val="00301152"/>
    <w:pPr>
      <w:tabs>
        <w:tab w:val="left" w:leader="dot" w:pos="9648"/>
      </w:tabs>
      <w:ind w:left="288"/>
    </w:pPr>
    <w:rPr>
      <w:szCs w:val="26"/>
    </w:rPr>
  </w:style>
  <w:style w:type="paragraph" w:customStyle="1" w:styleId="myTOC3">
    <w:name w:val="myTOC 3"/>
    <w:basedOn w:val="Normal"/>
    <w:next w:val="Normal"/>
    <w:rsid w:val="00301152"/>
    <w:pPr>
      <w:tabs>
        <w:tab w:val="left" w:leader="dot" w:pos="9648"/>
      </w:tabs>
      <w:ind w:left="576"/>
    </w:pPr>
    <w:rPr>
      <w:szCs w:val="26"/>
    </w:rPr>
  </w:style>
  <w:style w:type="paragraph" w:customStyle="1" w:styleId="myTOC4">
    <w:name w:val="myTOC 4"/>
    <w:basedOn w:val="Normal"/>
    <w:next w:val="Normal"/>
    <w:rsid w:val="00301152"/>
    <w:pPr>
      <w:tabs>
        <w:tab w:val="left" w:leader="dot" w:pos="9648"/>
      </w:tabs>
      <w:ind w:left="864"/>
    </w:pPr>
    <w:rPr>
      <w:szCs w:val="26"/>
    </w:rPr>
  </w:style>
  <w:style w:type="paragraph" w:customStyle="1" w:styleId="myTOC5">
    <w:name w:val="myTOC 5"/>
    <w:basedOn w:val="Normal"/>
    <w:next w:val="Normal"/>
    <w:rsid w:val="00301152"/>
    <w:pPr>
      <w:tabs>
        <w:tab w:val="left" w:leader="dot" w:pos="9648"/>
      </w:tabs>
      <w:ind w:left="1152"/>
    </w:pPr>
    <w:rPr>
      <w:szCs w:val="26"/>
    </w:rPr>
  </w:style>
  <w:style w:type="paragraph" w:customStyle="1" w:styleId="myTOC6">
    <w:name w:val="myTOC 6"/>
    <w:basedOn w:val="Normal"/>
    <w:next w:val="Normal"/>
    <w:rsid w:val="00301152"/>
    <w:pPr>
      <w:widowControl/>
      <w:tabs>
        <w:tab w:val="left" w:leader="dot" w:pos="9648"/>
      </w:tabs>
      <w:autoSpaceDE/>
      <w:autoSpaceDN/>
      <w:adjustRightInd/>
      <w:ind w:left="1440"/>
    </w:pPr>
    <w:rPr>
      <w:szCs w:val="26"/>
    </w:rPr>
  </w:style>
  <w:style w:type="paragraph" w:customStyle="1" w:styleId="myTOC7">
    <w:name w:val="myTOC 7"/>
    <w:basedOn w:val="Normal"/>
    <w:next w:val="Normal"/>
    <w:rsid w:val="00301152"/>
    <w:pPr>
      <w:widowControl/>
      <w:tabs>
        <w:tab w:val="left" w:leader="dot" w:pos="9648"/>
      </w:tabs>
      <w:autoSpaceDE/>
      <w:autoSpaceDN/>
      <w:adjustRightInd/>
      <w:ind w:left="1728"/>
    </w:pPr>
    <w:rPr>
      <w:szCs w:val="26"/>
    </w:rPr>
  </w:style>
  <w:style w:type="paragraph" w:customStyle="1" w:styleId="myTOC8">
    <w:name w:val="myTOC 8"/>
    <w:basedOn w:val="Normal"/>
    <w:next w:val="Normal"/>
    <w:rsid w:val="00301152"/>
    <w:pPr>
      <w:widowControl/>
      <w:tabs>
        <w:tab w:val="left" w:leader="dot" w:pos="9648"/>
      </w:tabs>
      <w:autoSpaceDE/>
      <w:autoSpaceDN/>
      <w:adjustRightInd/>
      <w:ind w:left="2016"/>
    </w:pPr>
    <w:rPr>
      <w:szCs w:val="26"/>
    </w:rPr>
  </w:style>
  <w:style w:type="paragraph" w:customStyle="1" w:styleId="myTOC9">
    <w:name w:val="myTOC 9"/>
    <w:basedOn w:val="Normal"/>
    <w:next w:val="Normal"/>
    <w:rsid w:val="00301152"/>
    <w:pPr>
      <w:widowControl/>
      <w:tabs>
        <w:tab w:val="left" w:leader="dot" w:pos="9648"/>
      </w:tabs>
      <w:autoSpaceDE/>
      <w:autoSpaceDN/>
      <w:adjustRightInd/>
      <w:ind w:left="2304"/>
    </w:pPr>
    <w:rPr>
      <w:szCs w:val="26"/>
    </w:rPr>
  </w:style>
  <w:style w:type="paragraph" w:styleId="NoSpacing">
    <w:name w:val="No Spacing"/>
    <w:uiPriority w:val="1"/>
    <w:qFormat/>
    <w:rsid w:val="00301152"/>
    <w:pPr>
      <w:widowControl w:val="0"/>
      <w:autoSpaceDE w:val="0"/>
      <w:autoSpaceDN w:val="0"/>
      <w:adjustRightInd w:val="0"/>
    </w:pPr>
    <w:rPr>
      <w:sz w:val="26"/>
      <w:szCs w:val="24"/>
      <w:lang w:bidi="ar-SA"/>
    </w:rPr>
  </w:style>
  <w:style w:type="paragraph" w:customStyle="1" w:styleId="Non-TOCStyle">
    <w:name w:val="Non-TOC Style"/>
    <w:basedOn w:val="Normal"/>
    <w:next w:val="FERCparanumber"/>
    <w:rsid w:val="00301152"/>
    <w:pPr>
      <w:spacing w:after="240"/>
      <w:ind w:left="1440"/>
    </w:pPr>
    <w:rPr>
      <w:b/>
      <w:szCs w:val="26"/>
      <w:u w:val="single"/>
    </w:rPr>
  </w:style>
  <w:style w:type="paragraph" w:styleId="NormalWeb">
    <w:name w:val="Normal (Web)"/>
    <w:basedOn w:val="Normal"/>
    <w:uiPriority w:val="99"/>
    <w:rsid w:val="00301152"/>
    <w:rPr>
      <w:sz w:val="24"/>
    </w:rPr>
  </w:style>
  <w:style w:type="paragraph" w:styleId="NormalIndent">
    <w:name w:val="Normal Indent"/>
    <w:basedOn w:val="Normal"/>
    <w:rsid w:val="00301152"/>
    <w:pPr>
      <w:ind w:left="720"/>
    </w:pPr>
  </w:style>
  <w:style w:type="paragraph" w:styleId="NoteHeading">
    <w:name w:val="Note Heading"/>
    <w:basedOn w:val="Normal"/>
    <w:next w:val="Normal"/>
    <w:link w:val="NoteHeadingChar"/>
    <w:rsid w:val="00301152"/>
  </w:style>
  <w:style w:type="character" w:customStyle="1" w:styleId="NoteHeadingChar">
    <w:name w:val="Note Heading Char"/>
    <w:basedOn w:val="DefaultParagraphFont"/>
    <w:link w:val="NoteHeading"/>
    <w:rsid w:val="00301152"/>
    <w:rPr>
      <w:sz w:val="26"/>
      <w:szCs w:val="24"/>
      <w:lang w:bidi="ar-SA"/>
    </w:rPr>
  </w:style>
  <w:style w:type="paragraph" w:styleId="PlainText">
    <w:name w:val="Plain Text"/>
    <w:basedOn w:val="Normal"/>
    <w:link w:val="PlainTextChar"/>
    <w:rsid w:val="00301152"/>
    <w:rPr>
      <w:rFonts w:ascii="Courier New" w:hAnsi="Courier New" w:cs="Courier New"/>
      <w:sz w:val="20"/>
      <w:szCs w:val="20"/>
    </w:rPr>
  </w:style>
  <w:style w:type="character" w:customStyle="1" w:styleId="PlainTextChar">
    <w:name w:val="Plain Text Char"/>
    <w:basedOn w:val="DefaultParagraphFont"/>
    <w:link w:val="PlainText"/>
    <w:rsid w:val="00301152"/>
    <w:rPr>
      <w:rFonts w:ascii="Courier New" w:hAnsi="Courier New" w:cs="Courier New"/>
      <w:lang w:bidi="ar-SA"/>
    </w:rPr>
  </w:style>
  <w:style w:type="paragraph" w:styleId="Quote">
    <w:name w:val="Quote"/>
    <w:basedOn w:val="Normal"/>
    <w:next w:val="Normal"/>
    <w:link w:val="QuoteChar"/>
    <w:uiPriority w:val="29"/>
    <w:qFormat/>
    <w:rsid w:val="00301152"/>
    <w:rPr>
      <w:i/>
      <w:iCs/>
      <w:color w:val="000000" w:themeColor="text1"/>
    </w:rPr>
  </w:style>
  <w:style w:type="character" w:customStyle="1" w:styleId="QuoteChar">
    <w:name w:val="Quote Char"/>
    <w:basedOn w:val="DefaultParagraphFont"/>
    <w:link w:val="Quote"/>
    <w:uiPriority w:val="29"/>
    <w:rsid w:val="00301152"/>
    <w:rPr>
      <w:i/>
      <w:iCs/>
      <w:color w:val="000000" w:themeColor="text1"/>
      <w:sz w:val="26"/>
      <w:szCs w:val="24"/>
      <w:lang w:bidi="ar-SA"/>
    </w:rPr>
  </w:style>
  <w:style w:type="paragraph" w:styleId="Salutation">
    <w:name w:val="Salutation"/>
    <w:basedOn w:val="Normal"/>
    <w:next w:val="Normal"/>
    <w:link w:val="SalutationChar"/>
    <w:rsid w:val="00301152"/>
  </w:style>
  <w:style w:type="character" w:customStyle="1" w:styleId="SalutationChar">
    <w:name w:val="Salutation Char"/>
    <w:basedOn w:val="DefaultParagraphFont"/>
    <w:link w:val="Salutation"/>
    <w:rsid w:val="00301152"/>
    <w:rPr>
      <w:sz w:val="26"/>
      <w:szCs w:val="24"/>
      <w:lang w:bidi="ar-SA"/>
    </w:rPr>
  </w:style>
  <w:style w:type="paragraph" w:styleId="Signature">
    <w:name w:val="Signature"/>
    <w:basedOn w:val="Normal"/>
    <w:link w:val="SignatureChar"/>
    <w:rsid w:val="00301152"/>
    <w:pPr>
      <w:ind w:left="4320"/>
    </w:pPr>
  </w:style>
  <w:style w:type="character" w:customStyle="1" w:styleId="SignatureChar">
    <w:name w:val="Signature Char"/>
    <w:basedOn w:val="DefaultParagraphFont"/>
    <w:link w:val="Signature"/>
    <w:rsid w:val="00301152"/>
    <w:rPr>
      <w:sz w:val="26"/>
      <w:szCs w:val="24"/>
      <w:lang w:bidi="ar-SA"/>
    </w:rPr>
  </w:style>
  <w:style w:type="paragraph" w:styleId="Subtitle">
    <w:name w:val="Subtitle"/>
    <w:basedOn w:val="Normal"/>
    <w:link w:val="SubtitleChar"/>
    <w:qFormat/>
    <w:rsid w:val="00301152"/>
    <w:pPr>
      <w:spacing w:after="60"/>
      <w:jc w:val="center"/>
      <w:outlineLvl w:val="1"/>
    </w:pPr>
    <w:rPr>
      <w:rFonts w:ascii="Arial" w:hAnsi="Arial" w:cs="Arial"/>
      <w:sz w:val="24"/>
    </w:rPr>
  </w:style>
  <w:style w:type="character" w:customStyle="1" w:styleId="SubtitleChar">
    <w:name w:val="Subtitle Char"/>
    <w:basedOn w:val="DefaultParagraphFont"/>
    <w:link w:val="Subtitle"/>
    <w:rsid w:val="00301152"/>
    <w:rPr>
      <w:rFonts w:ascii="Arial" w:hAnsi="Arial" w:cs="Arial"/>
      <w:sz w:val="24"/>
      <w:szCs w:val="24"/>
      <w:lang w:bidi="ar-SA"/>
    </w:rPr>
  </w:style>
  <w:style w:type="paragraph" w:styleId="TableofAuthorities">
    <w:name w:val="table of authorities"/>
    <w:basedOn w:val="Normal"/>
    <w:next w:val="Normal"/>
    <w:semiHidden/>
    <w:rsid w:val="00301152"/>
    <w:pPr>
      <w:ind w:left="260" w:hanging="260"/>
    </w:pPr>
  </w:style>
  <w:style w:type="paragraph" w:styleId="TableofFigures">
    <w:name w:val="table of figures"/>
    <w:basedOn w:val="Normal"/>
    <w:next w:val="Normal"/>
    <w:semiHidden/>
    <w:rsid w:val="00301152"/>
    <w:pPr>
      <w:ind w:left="520" w:hanging="520"/>
    </w:pPr>
  </w:style>
  <w:style w:type="paragraph" w:styleId="Title">
    <w:name w:val="Title"/>
    <w:basedOn w:val="Normal"/>
    <w:link w:val="TitleChar"/>
    <w:qFormat/>
    <w:rsid w:val="00301152"/>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301152"/>
    <w:rPr>
      <w:rFonts w:ascii="Arial" w:hAnsi="Arial" w:cs="Arial"/>
      <w:b/>
      <w:bCs/>
      <w:kern w:val="28"/>
      <w:sz w:val="32"/>
      <w:szCs w:val="32"/>
      <w:lang w:bidi="ar-SA"/>
    </w:rPr>
  </w:style>
  <w:style w:type="paragraph" w:styleId="TOAHeading">
    <w:name w:val="toa heading"/>
    <w:basedOn w:val="Normal"/>
    <w:next w:val="Normal"/>
    <w:semiHidden/>
    <w:rsid w:val="00301152"/>
    <w:pPr>
      <w:spacing w:before="120"/>
    </w:pPr>
    <w:rPr>
      <w:rFonts w:ascii="Arial" w:hAnsi="Arial" w:cs="Arial"/>
      <w:b/>
      <w:bCs/>
      <w:sz w:val="24"/>
    </w:rPr>
  </w:style>
  <w:style w:type="paragraph" w:styleId="TOC1">
    <w:name w:val="toc 1"/>
    <w:basedOn w:val="Normal"/>
    <w:next w:val="Normal"/>
    <w:semiHidden/>
    <w:rsid w:val="00301152"/>
  </w:style>
  <w:style w:type="paragraph" w:styleId="TOC2">
    <w:name w:val="toc 2"/>
    <w:basedOn w:val="Normal"/>
    <w:next w:val="Normal"/>
    <w:semiHidden/>
    <w:rsid w:val="00301152"/>
    <w:pPr>
      <w:ind w:left="260"/>
    </w:pPr>
  </w:style>
  <w:style w:type="paragraph" w:styleId="TOC3">
    <w:name w:val="toc 3"/>
    <w:basedOn w:val="Normal"/>
    <w:next w:val="Normal"/>
    <w:semiHidden/>
    <w:rsid w:val="00301152"/>
    <w:pPr>
      <w:ind w:left="520"/>
    </w:pPr>
  </w:style>
  <w:style w:type="paragraph" w:styleId="TOC4">
    <w:name w:val="toc 4"/>
    <w:basedOn w:val="Normal"/>
    <w:next w:val="Normal"/>
    <w:semiHidden/>
    <w:rsid w:val="00301152"/>
    <w:pPr>
      <w:ind w:left="780"/>
    </w:pPr>
  </w:style>
  <w:style w:type="paragraph" w:styleId="TOC5">
    <w:name w:val="toc 5"/>
    <w:basedOn w:val="Normal"/>
    <w:next w:val="Normal"/>
    <w:semiHidden/>
    <w:rsid w:val="00301152"/>
    <w:pPr>
      <w:ind w:left="1040"/>
    </w:pPr>
  </w:style>
  <w:style w:type="paragraph" w:styleId="TOC6">
    <w:name w:val="toc 6"/>
    <w:basedOn w:val="Normal"/>
    <w:next w:val="Normal"/>
    <w:semiHidden/>
    <w:rsid w:val="00301152"/>
    <w:pPr>
      <w:ind w:left="1300"/>
    </w:pPr>
  </w:style>
  <w:style w:type="paragraph" w:styleId="TOC7">
    <w:name w:val="toc 7"/>
    <w:basedOn w:val="Normal"/>
    <w:next w:val="Normal"/>
    <w:semiHidden/>
    <w:rsid w:val="00301152"/>
    <w:pPr>
      <w:ind w:left="1560"/>
    </w:pPr>
  </w:style>
  <w:style w:type="paragraph" w:styleId="TOC8">
    <w:name w:val="toc 8"/>
    <w:basedOn w:val="Normal"/>
    <w:next w:val="Normal"/>
    <w:semiHidden/>
    <w:rsid w:val="00301152"/>
    <w:pPr>
      <w:ind w:left="1820"/>
    </w:pPr>
  </w:style>
  <w:style w:type="paragraph" w:styleId="TOC9">
    <w:name w:val="toc 9"/>
    <w:basedOn w:val="Normal"/>
    <w:next w:val="Normal"/>
    <w:semiHidden/>
    <w:rsid w:val="00301152"/>
    <w:pPr>
      <w:ind w:left="2080"/>
    </w:pPr>
  </w:style>
  <w:style w:type="paragraph" w:styleId="TOCHeading">
    <w:name w:val="TOC Heading"/>
    <w:basedOn w:val="Heading1"/>
    <w:next w:val="Normal"/>
    <w:uiPriority w:val="39"/>
    <w:semiHidden/>
    <w:unhideWhenUsed/>
    <w:qFormat/>
    <w:rsid w:val="00301152"/>
    <w:pPr>
      <w:widowControl w:val="0"/>
      <w:spacing w:before="480" w:after="0"/>
      <w:outlineLvl w:val="9"/>
    </w:pPr>
    <w:rPr>
      <w:rFonts w:asciiTheme="majorHAnsi" w:eastAsiaTheme="majorEastAsia" w:hAnsiTheme="majorHAnsi" w:cstheme="majorBidi"/>
      <w:color w:val="365F91" w:themeColor="accent1" w:themeShade="BF"/>
      <w:kern w:val="0"/>
      <w:sz w:val="28"/>
      <w:szCs w:val="28"/>
      <w:u w:val="none"/>
    </w:rPr>
  </w:style>
  <w:style w:type="character" w:styleId="Hyperlink">
    <w:name w:val="Hyperlink"/>
    <w:basedOn w:val="DefaultParagraphFont"/>
    <w:rsid w:val="0025400C"/>
    <w:rPr>
      <w:color w:val="0000FF"/>
      <w:u w:val="single"/>
    </w:rPr>
  </w:style>
  <w:style w:type="character" w:customStyle="1" w:styleId="FootnoteTextChar">
    <w:name w:val="Footnote Text Char"/>
    <w:aliases w:val="Footnote Text Char2 Char Char,Footnote Text Char Char1 Char Char,Footnote Text Char1 Char Char Char Char,Footnote Text Char Char Char Char Char Char,Footnote Text Char1 Char Char Char Char Char Char Char Char,ft Char,fn Char"/>
    <w:link w:val="FootnoteText"/>
    <w:uiPriority w:val="99"/>
    <w:rsid w:val="00FC30FC"/>
    <w:rPr>
      <w:sz w:val="26"/>
      <w:lang w:bidi="ar-SA"/>
    </w:rPr>
  </w:style>
  <w:style w:type="character" w:customStyle="1" w:styleId="FERCparanumberChar1">
    <w:name w:val="FERC paranumber Char1"/>
    <w:link w:val="FERCparanumber"/>
    <w:rsid w:val="00F36325"/>
    <w:rPr>
      <w:sz w:val="26"/>
      <w:szCs w:val="26"/>
      <w:lang w:bidi="ar-SA"/>
    </w:rPr>
  </w:style>
  <w:style w:type="character" w:styleId="FollowedHyperlink">
    <w:name w:val="FollowedHyperlink"/>
    <w:basedOn w:val="DefaultParagraphFont"/>
    <w:uiPriority w:val="99"/>
    <w:semiHidden/>
    <w:unhideWhenUsed/>
    <w:rsid w:val="00FC6CF5"/>
    <w:rPr>
      <w:color w:val="800080" w:themeColor="followedHyperlink"/>
      <w:u w:val="single"/>
    </w:rPr>
  </w:style>
  <w:style w:type="character" w:customStyle="1" w:styleId="HeaderChar">
    <w:name w:val="Header Char"/>
    <w:basedOn w:val="DefaultParagraphFont"/>
    <w:link w:val="Header"/>
    <w:uiPriority w:val="99"/>
    <w:rsid w:val="001E5607"/>
    <w:rPr>
      <w:sz w:val="26"/>
      <w:szCs w:val="24"/>
      <w:lang w:bidi="ar-SA"/>
    </w:rPr>
  </w:style>
  <w:style w:type="character" w:customStyle="1" w:styleId="FootnoteTextChar1">
    <w:name w:val="Footnote Text Char1"/>
    <w:aliases w:val="Footnote Text Char Char"/>
    <w:rsid w:val="002346ED"/>
    <w:rPr>
      <w:sz w:val="26"/>
      <w:lang w:val="en-US" w:eastAsia="en-US" w:bidi="ar-SA"/>
    </w:rPr>
  </w:style>
  <w:style w:type="character" w:styleId="CommentReference">
    <w:name w:val="annotation reference"/>
    <w:basedOn w:val="DefaultParagraphFont"/>
    <w:uiPriority w:val="99"/>
    <w:semiHidden/>
    <w:unhideWhenUsed/>
    <w:rsid w:val="00D05E7A"/>
    <w:rPr>
      <w:sz w:val="16"/>
      <w:szCs w:val="16"/>
    </w:rPr>
  </w:style>
  <w:style w:type="paragraph" w:customStyle="1" w:styleId="Default">
    <w:name w:val="Default"/>
    <w:rsid w:val="00763BF9"/>
    <w:pPr>
      <w:autoSpaceDE w:val="0"/>
      <w:autoSpaceDN w:val="0"/>
      <w:adjustRightInd w:val="0"/>
    </w:pPr>
    <w:rPr>
      <w:rFonts w:eastAsiaTheme="minorHAnsi"/>
      <w:color w:val="000000"/>
      <w:sz w:val="24"/>
      <w:szCs w:val="24"/>
      <w:lang w:bidi="ar-SA"/>
    </w:rPr>
  </w:style>
  <w:style w:type="character" w:styleId="Emphasis">
    <w:name w:val="Emphasis"/>
    <w:basedOn w:val="DefaultParagraphFont"/>
    <w:uiPriority w:val="20"/>
    <w:qFormat/>
    <w:rsid w:val="00763BF9"/>
    <w:rPr>
      <w:i/>
      <w:iCs/>
    </w:rPr>
  </w:style>
  <w:style w:type="character" w:customStyle="1" w:styleId="findhit">
    <w:name w:val="findhit"/>
    <w:basedOn w:val="DefaultParagraphFont"/>
    <w:rsid w:val="00DE1EDE"/>
    <w:rPr>
      <w:shd w:val="clear" w:color="auto" w:fill="FFEE80"/>
    </w:rPr>
  </w:style>
  <w:style w:type="character" w:customStyle="1" w:styleId="normaltextrun1">
    <w:name w:val="normaltextrun1"/>
    <w:basedOn w:val="DefaultParagraphFont"/>
    <w:rsid w:val="00DE1EDE"/>
  </w:style>
  <w:style w:type="character" w:customStyle="1" w:styleId="cosearchterm">
    <w:name w:val="co_searchterm"/>
    <w:basedOn w:val="DefaultParagraphFont"/>
    <w:rsid w:val="00223BFE"/>
  </w:style>
  <w:style w:type="paragraph" w:styleId="Revision">
    <w:name w:val="Revision"/>
    <w:hidden/>
    <w:uiPriority w:val="99"/>
    <w:semiHidden/>
    <w:rsid w:val="004D0967"/>
    <w:rPr>
      <w:sz w:val="26"/>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31580">
      <w:bodyDiv w:val="1"/>
      <w:marLeft w:val="0"/>
      <w:marRight w:val="0"/>
      <w:marTop w:val="0"/>
      <w:marBottom w:val="0"/>
      <w:divBdr>
        <w:top w:val="none" w:sz="0" w:space="0" w:color="auto"/>
        <w:left w:val="none" w:sz="0" w:space="0" w:color="auto"/>
        <w:bottom w:val="none" w:sz="0" w:space="0" w:color="auto"/>
        <w:right w:val="none" w:sz="0" w:space="0" w:color="auto"/>
      </w:divBdr>
      <w:divsChild>
        <w:div w:id="1559316342">
          <w:marLeft w:val="0"/>
          <w:marRight w:val="0"/>
          <w:marTop w:val="0"/>
          <w:marBottom w:val="0"/>
          <w:divBdr>
            <w:top w:val="none" w:sz="0" w:space="0" w:color="auto"/>
            <w:left w:val="none" w:sz="0" w:space="0" w:color="auto"/>
            <w:bottom w:val="none" w:sz="0" w:space="0" w:color="auto"/>
            <w:right w:val="none" w:sz="0" w:space="0" w:color="auto"/>
          </w:divBdr>
          <w:divsChild>
            <w:div w:id="20179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26353">
      <w:bodyDiv w:val="1"/>
      <w:marLeft w:val="0"/>
      <w:marRight w:val="0"/>
      <w:marTop w:val="0"/>
      <w:marBottom w:val="0"/>
      <w:divBdr>
        <w:top w:val="none" w:sz="0" w:space="0" w:color="auto"/>
        <w:left w:val="none" w:sz="0" w:space="0" w:color="auto"/>
        <w:bottom w:val="none" w:sz="0" w:space="0" w:color="auto"/>
        <w:right w:val="none" w:sz="0" w:space="0" w:color="auto"/>
      </w:divBdr>
      <w:divsChild>
        <w:div w:id="1833717452">
          <w:marLeft w:val="0"/>
          <w:marRight w:val="0"/>
          <w:marTop w:val="0"/>
          <w:marBottom w:val="0"/>
          <w:divBdr>
            <w:top w:val="none" w:sz="0" w:space="0" w:color="auto"/>
            <w:left w:val="none" w:sz="0" w:space="0" w:color="auto"/>
            <w:bottom w:val="none" w:sz="0" w:space="0" w:color="auto"/>
            <w:right w:val="none" w:sz="0" w:space="0" w:color="auto"/>
          </w:divBdr>
          <w:divsChild>
            <w:div w:id="212746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24724">
      <w:bodyDiv w:val="1"/>
      <w:marLeft w:val="0"/>
      <w:marRight w:val="0"/>
      <w:marTop w:val="0"/>
      <w:marBottom w:val="0"/>
      <w:divBdr>
        <w:top w:val="none" w:sz="0" w:space="0" w:color="auto"/>
        <w:left w:val="none" w:sz="0" w:space="0" w:color="auto"/>
        <w:bottom w:val="none" w:sz="0" w:space="0" w:color="auto"/>
        <w:right w:val="none" w:sz="0" w:space="0" w:color="auto"/>
      </w:divBdr>
    </w:div>
    <w:div w:id="700671454">
      <w:bodyDiv w:val="1"/>
      <w:marLeft w:val="0"/>
      <w:marRight w:val="0"/>
      <w:marTop w:val="0"/>
      <w:marBottom w:val="0"/>
      <w:divBdr>
        <w:top w:val="none" w:sz="0" w:space="0" w:color="auto"/>
        <w:left w:val="none" w:sz="0" w:space="0" w:color="auto"/>
        <w:bottom w:val="none" w:sz="0" w:space="0" w:color="auto"/>
        <w:right w:val="none" w:sz="0" w:space="0" w:color="auto"/>
      </w:divBdr>
      <w:divsChild>
        <w:div w:id="1033963044">
          <w:marLeft w:val="0"/>
          <w:marRight w:val="0"/>
          <w:marTop w:val="0"/>
          <w:marBottom w:val="0"/>
          <w:divBdr>
            <w:top w:val="none" w:sz="0" w:space="0" w:color="auto"/>
            <w:left w:val="none" w:sz="0" w:space="0" w:color="auto"/>
            <w:bottom w:val="none" w:sz="0" w:space="0" w:color="auto"/>
            <w:right w:val="none" w:sz="0" w:space="0" w:color="auto"/>
          </w:divBdr>
          <w:divsChild>
            <w:div w:id="14880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731714">
      <w:bodyDiv w:val="1"/>
      <w:marLeft w:val="0"/>
      <w:marRight w:val="0"/>
      <w:marTop w:val="0"/>
      <w:marBottom w:val="0"/>
      <w:divBdr>
        <w:top w:val="none" w:sz="0" w:space="0" w:color="auto"/>
        <w:left w:val="none" w:sz="0" w:space="0" w:color="auto"/>
        <w:bottom w:val="none" w:sz="0" w:space="0" w:color="auto"/>
        <w:right w:val="none" w:sz="0" w:space="0" w:color="auto"/>
      </w:divBdr>
      <w:divsChild>
        <w:div w:id="1797024153">
          <w:marLeft w:val="0"/>
          <w:marRight w:val="0"/>
          <w:marTop w:val="0"/>
          <w:marBottom w:val="0"/>
          <w:divBdr>
            <w:top w:val="none" w:sz="0" w:space="0" w:color="auto"/>
            <w:left w:val="none" w:sz="0" w:space="0" w:color="auto"/>
            <w:bottom w:val="none" w:sz="0" w:space="0" w:color="auto"/>
            <w:right w:val="none" w:sz="0" w:space="0" w:color="auto"/>
          </w:divBdr>
          <w:divsChild>
            <w:div w:id="157859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3466">
      <w:bodyDiv w:val="1"/>
      <w:marLeft w:val="0"/>
      <w:marRight w:val="0"/>
      <w:marTop w:val="0"/>
      <w:marBottom w:val="0"/>
      <w:divBdr>
        <w:top w:val="none" w:sz="0" w:space="0" w:color="auto"/>
        <w:left w:val="none" w:sz="0" w:space="0" w:color="auto"/>
        <w:bottom w:val="none" w:sz="0" w:space="0" w:color="auto"/>
        <w:right w:val="none" w:sz="0" w:space="0" w:color="auto"/>
      </w:divBdr>
    </w:div>
    <w:div w:id="1599681003">
      <w:bodyDiv w:val="1"/>
      <w:marLeft w:val="0"/>
      <w:marRight w:val="0"/>
      <w:marTop w:val="0"/>
      <w:marBottom w:val="0"/>
      <w:divBdr>
        <w:top w:val="none" w:sz="0" w:space="0" w:color="auto"/>
        <w:left w:val="none" w:sz="0" w:space="0" w:color="auto"/>
        <w:bottom w:val="none" w:sz="0" w:space="0" w:color="auto"/>
        <w:right w:val="none" w:sz="0" w:space="0" w:color="auto"/>
      </w:divBdr>
    </w:div>
    <w:div w:id="16976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4a4cd09-5f17-433b-814a-38e7e9115d16"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Type xmlns="5e8733a2-e908-454b-85cf-c9d17e1d0943">Issuance</DocType>
    <Security_x0020_Level xmlns="5e8733a2-e908-454b-85cf-c9d17e1d0943">Public</Security_x0020_Level>
    <Number_x0020_Of_x0020_Pages xmlns="5e8733a2-e908-454b-85cf-c9d17e1d094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BBA46C296F7C4CB651D6F7E4CC084A" ma:contentTypeVersion="6" ma:contentTypeDescription="Create a new document." ma:contentTypeScope="" ma:versionID="0f70db97750ef986ae0341d7ca06254e">
  <xsd:schema xmlns:xsd="http://www.w3.org/2001/XMLSchema" xmlns:xs="http://www.w3.org/2001/XMLSchema" xmlns:p="http://schemas.microsoft.com/office/2006/metadata/properties" xmlns:ns2="5e8733a2-e908-454b-85cf-c9d17e1d0943" targetNamespace="http://schemas.microsoft.com/office/2006/metadata/properties" ma:root="true" ma:fieldsID="de1f8b43b19bdf3d1502717f535efbd3" ns2:_="">
    <xsd:import namespace="5e8733a2-e908-454b-85cf-c9d17e1d0943"/>
    <xsd:element name="properties">
      <xsd:complexType>
        <xsd:sequence>
          <xsd:element name="documentManagement">
            <xsd:complexType>
              <xsd:all>
                <xsd:element ref="ns2:Security_x0020_Level" minOccurs="0"/>
                <xsd:element ref="ns2:Number_x0020_Of_x0020_Pages" minOccurs="0"/>
                <xsd:element ref="ns2: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8733a2-e908-454b-85cf-c9d17e1d0943" elementFormDefault="qualified">
    <xsd:import namespace="http://schemas.microsoft.com/office/2006/documentManagement/types"/>
    <xsd:import namespace="http://schemas.microsoft.com/office/infopath/2007/PartnerControls"/>
    <xsd:element name="Security_x0020_Level" ma:index="8" nillable="true" ma:displayName="Security Level" ma:internalName="Security_x0020_Level">
      <xsd:simpleType>
        <xsd:restriction base="dms:Text">
          <xsd:maxLength value="255"/>
        </xsd:restriction>
      </xsd:simpleType>
    </xsd:element>
    <xsd:element name="Number_x0020_Of_x0020_Pages" ma:index="9" nillable="true" ma:displayName="Number Of Pages" ma:internalName="Number_x0020_Of_x0020_Pages">
      <xsd:simpleType>
        <xsd:restriction base="dms:Number"/>
      </xsd:simpleType>
    </xsd:element>
    <xsd:element name="DocType" ma:index="10" nillable="true" ma:displayName="DocType" ma:internalName="DocTyp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30B86-861C-4580-8EC8-328330660FFA}">
  <ds:schemaRefs>
    <ds:schemaRef ds:uri="Microsoft.SharePoint.Taxonomy.ContentTypeSync"/>
  </ds:schemaRefs>
</ds:datastoreItem>
</file>

<file path=customXml/itemProps2.xml><?xml version="1.0" encoding="utf-8"?>
<ds:datastoreItem xmlns:ds="http://schemas.openxmlformats.org/officeDocument/2006/customXml" ds:itemID="{52F62A09-9D14-4DB5-9E8C-1E62DF6957F1}">
  <ds:schemaRefs>
    <ds:schemaRef ds:uri="http://schemas.microsoft.com/sharepoint/v3/contenttype/forms"/>
  </ds:schemaRefs>
</ds:datastoreItem>
</file>

<file path=customXml/itemProps3.xml><?xml version="1.0" encoding="utf-8"?>
<ds:datastoreItem xmlns:ds="http://schemas.openxmlformats.org/officeDocument/2006/customXml" ds:itemID="{7FF6499A-8A9D-4B46-B6E4-F6757FB411E9}">
  <ds:schemaRefs>
    <ds:schemaRef ds:uri="http://purl.org/dc/elements/1.1/"/>
    <ds:schemaRef ds:uri="http://purl.org/dc/terms/"/>
    <ds:schemaRef ds:uri="http://schemas.microsoft.com/office/2006/metadata/properties"/>
    <ds:schemaRef ds:uri="http://schemas.microsoft.com/office/2006/documentManagement/types"/>
    <ds:schemaRef ds:uri="http://schemas.microsoft.com/office/infopath/2007/PartnerControls"/>
    <ds:schemaRef ds:uri="5e8733a2-e908-454b-85cf-c9d17e1d0943"/>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AD76F03-2986-48A6-9E86-61036B6D54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8733a2-e908-454b-85cf-c9d17e1d09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A335FE-4862-4710-9E0B-766CB9D9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5705</Words>
  <Characters>31541</Characters>
  <Application>Microsoft Office Word</Application>
  <DocSecurity>4</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37172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2018-03-28T16:42:00Z</dcterms:created>
  <dcterms:modified xsi:type="dcterms:W3CDTF">2018-03-28T16:42:00Z</dcterms:modified>
  <cp:category/>
  <dc:identifier/>
  <cp:contentStatus/>
  <cp:version/>
</cp:coreProperties>
</file>